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52705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48895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(Mark One)</w:t>
      </w:r>
    </w:p>
    <w:p>
      <w:pPr>
        <w:spacing w:after="0" w:line="4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June 30, 2023</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41"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0"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166370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389255</wp:posOffset>
            </wp:positionV>
            <wp:extent cx="2966085" cy="985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985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53340</wp:posOffset>
            </wp:positionV>
            <wp:extent cx="2768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99"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1180" w:type="dxa"/>
            <w:vAlign w:val="bottom"/>
          </w:tcPr>
          <w:p>
            <w:pPr>
              <w:spacing w:after="0"/>
              <w:rPr>
                <w:sz w:val="18"/>
                <w:szCs w:val="18"/>
                <w:color w:val="auto"/>
              </w:rPr>
            </w:pPr>
          </w:p>
        </w:tc>
        <w:tc>
          <w:tcPr>
            <w:tcW w:w="20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jc w:val="right"/>
              <w:ind w:right="732"/>
              <w:spacing w:after="0"/>
              <w:rPr>
                <w:sz w:val="20"/>
                <w:szCs w:val="20"/>
                <w:color w:val="auto"/>
              </w:rPr>
            </w:pPr>
            <w:r>
              <w:rPr>
                <w:rFonts w:ascii="Arial" w:cs="Arial" w:eastAsia="Arial" w:hAnsi="Arial"/>
                <w:sz w:val="16"/>
                <w:szCs w:val="16"/>
                <w:b w:val="1"/>
                <w:bCs w:val="1"/>
                <w:color w:val="auto"/>
              </w:rPr>
              <w:t>33-0956711</w:t>
            </w:r>
          </w:p>
        </w:tc>
      </w:tr>
      <w:tr>
        <w:trPr>
          <w:trHeight w:val="128"/>
        </w:trPr>
        <w:tc>
          <w:tcPr>
            <w:tcW w:w="1180" w:type="dxa"/>
            <w:vAlign w:val="bottom"/>
          </w:tcPr>
          <w:p>
            <w:pPr>
              <w:spacing w:after="0"/>
              <w:rPr>
                <w:sz w:val="11"/>
                <w:szCs w:val="11"/>
                <w:color w:val="auto"/>
              </w:rPr>
            </w:pPr>
          </w:p>
        </w:tc>
        <w:tc>
          <w:tcPr>
            <w:tcW w:w="2040" w:type="dxa"/>
            <w:vAlign w:val="bottom"/>
            <w:gridSpan w:val="3"/>
          </w:tcPr>
          <w:p>
            <w:pPr>
              <w:jc w:val="center"/>
              <w:ind w:right="80"/>
              <w:spacing w:after="0" w:line="128" w:lineRule="exact"/>
              <w:rPr>
                <w:sz w:val="20"/>
                <w:szCs w:val="20"/>
                <w:color w:val="auto"/>
              </w:rPr>
            </w:pPr>
            <w:r>
              <w:rPr>
                <w:rFonts w:ascii="Arial" w:cs="Arial" w:eastAsia="Arial" w:hAnsi="Arial"/>
                <w:sz w:val="13"/>
                <w:szCs w:val="13"/>
                <w:i w:val="1"/>
                <w:iCs w:val="1"/>
                <w:color w:val="auto"/>
                <w:w w:val="91"/>
              </w:rPr>
              <w:t>(State or other jurisdiction of</w:t>
            </w:r>
          </w:p>
        </w:tc>
        <w:tc>
          <w:tcPr>
            <w:tcW w:w="1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80" w:type="dxa"/>
            <w:vAlign w:val="bottom"/>
          </w:tcPr>
          <w:p>
            <w:pPr>
              <w:spacing w:after="0"/>
              <w:rPr>
                <w:sz w:val="11"/>
                <w:szCs w:val="11"/>
                <w:color w:val="auto"/>
              </w:rPr>
            </w:pPr>
          </w:p>
        </w:tc>
      </w:tr>
      <w:tr>
        <w:trPr>
          <w:trHeight w:val="173"/>
        </w:trPr>
        <w:tc>
          <w:tcPr>
            <w:tcW w:w="1180" w:type="dxa"/>
            <w:vAlign w:val="bottom"/>
          </w:tcPr>
          <w:p>
            <w:pPr>
              <w:spacing w:after="0"/>
              <w:rPr>
                <w:sz w:val="15"/>
                <w:szCs w:val="15"/>
                <w:color w:val="auto"/>
              </w:rPr>
            </w:pPr>
          </w:p>
        </w:tc>
        <w:tc>
          <w:tcPr>
            <w:tcW w:w="2040" w:type="dxa"/>
            <w:vAlign w:val="bottom"/>
            <w:gridSpan w:val="3"/>
          </w:tcPr>
          <w:p>
            <w:pPr>
              <w:jc w:val="center"/>
              <w:ind w:right="80"/>
              <w:spacing w:after="0"/>
              <w:rPr>
                <w:sz w:val="20"/>
                <w:szCs w:val="20"/>
                <w:color w:val="auto"/>
              </w:rPr>
            </w:pPr>
            <w:r>
              <w:rPr>
                <w:rFonts w:ascii="Arial" w:cs="Arial" w:eastAsia="Arial" w:hAnsi="Arial"/>
                <w:sz w:val="13"/>
                <w:szCs w:val="13"/>
                <w:i w:val="1"/>
                <w:iCs w:val="1"/>
                <w:color w:val="auto"/>
                <w:w w:val="92"/>
              </w:rPr>
              <w:t>incorporation or organization)</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80" w:type="dxa"/>
            <w:vAlign w:val="bottom"/>
          </w:tcPr>
          <w:p>
            <w:pPr>
              <w:jc w:val="center"/>
              <w:ind w:left="352"/>
              <w:spacing w:after="0"/>
              <w:rPr>
                <w:sz w:val="20"/>
                <w:szCs w:val="20"/>
                <w:color w:val="auto"/>
              </w:rPr>
            </w:pPr>
            <w:r>
              <w:rPr>
                <w:rFonts w:ascii="Arial" w:cs="Arial" w:eastAsia="Arial" w:hAnsi="Arial"/>
                <w:sz w:val="13"/>
                <w:szCs w:val="13"/>
                <w:i w:val="1"/>
                <w:iCs w:val="1"/>
                <w:color w:val="auto"/>
                <w:w w:val="89"/>
              </w:rPr>
              <w:t>(I.R.S. Employer Identification No.)</w:t>
            </w:r>
          </w:p>
        </w:tc>
      </w:tr>
      <w:tr>
        <w:trPr>
          <w:trHeight w:val="247"/>
        </w:trPr>
        <w:tc>
          <w:tcPr>
            <w:tcW w:w="2400" w:type="dxa"/>
            <w:vAlign w:val="bottom"/>
            <w:gridSpan w:val="2"/>
          </w:tcPr>
          <w:p>
            <w:pPr>
              <w:ind w:left="480"/>
              <w:spacing w:after="0"/>
              <w:rPr>
                <w:sz w:val="20"/>
                <w:szCs w:val="20"/>
                <w:color w:val="auto"/>
              </w:rPr>
            </w:pPr>
            <w:r>
              <w:rPr>
                <w:rFonts w:ascii="Arial" w:cs="Arial" w:eastAsia="Arial" w:hAnsi="Arial"/>
                <w:sz w:val="14"/>
                <w:szCs w:val="14"/>
                <w:b w:val="1"/>
                <w:bCs w:val="1"/>
                <w:color w:val="auto"/>
              </w:rPr>
              <w:t>5601 Great Oaks Parkway</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San Jose,</w:t>
            </w:r>
          </w:p>
        </w:tc>
        <w:tc>
          <w:tcPr>
            <w:tcW w:w="3660" w:type="dxa"/>
            <w:vAlign w:val="bottom"/>
            <w:gridSpan w:val="3"/>
          </w:tcPr>
          <w:p>
            <w:pPr>
              <w:ind w:left="100"/>
              <w:spacing w:after="0"/>
              <w:rPr>
                <w:sz w:val="20"/>
                <w:szCs w:val="20"/>
                <w:color w:val="auto"/>
              </w:rPr>
            </w:pPr>
            <w:r>
              <w:rPr>
                <w:rFonts w:ascii="Arial" w:cs="Arial" w:eastAsia="Arial" w:hAnsi="Arial"/>
                <w:sz w:val="14"/>
                <w:szCs w:val="14"/>
                <w:b w:val="1"/>
                <w:bCs w:val="1"/>
                <w:color w:val="auto"/>
              </w:rPr>
              <w:t>California</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2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rPr>
              <w:t>95119</w:t>
            </w:r>
          </w:p>
        </w:tc>
      </w:tr>
      <w:tr>
        <w:trPr>
          <w:trHeight w:val="185"/>
        </w:trPr>
        <w:tc>
          <w:tcPr>
            <w:tcW w:w="3220" w:type="dxa"/>
            <w:vAlign w:val="bottom"/>
            <w:gridSpan w:val="4"/>
          </w:tcPr>
          <w:p>
            <w:pPr>
              <w:jc w:val="center"/>
              <w:ind w:left="1030"/>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1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tcPr>
          <w:p>
            <w:pPr>
              <w:jc w:val="center"/>
              <w:ind w:left="332"/>
              <w:spacing w:after="0"/>
              <w:rPr>
                <w:sz w:val="20"/>
                <w:szCs w:val="20"/>
                <w:color w:val="auto"/>
              </w:rPr>
            </w:pPr>
            <w:r>
              <w:rPr>
                <w:rFonts w:ascii="Arial" w:cs="Arial" w:eastAsia="Arial" w:hAnsi="Arial"/>
                <w:sz w:val="13"/>
                <w:szCs w:val="13"/>
                <w:i w:val="1"/>
                <w:iCs w:val="1"/>
                <w:color w:val="auto"/>
                <w:w w:val="87"/>
              </w:rPr>
              <w:t>(Zip Code)</w:t>
            </w:r>
          </w:p>
        </w:tc>
      </w:tr>
      <w:tr>
        <w:trPr>
          <w:trHeight w:val="469"/>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60" w:type="dxa"/>
            <w:vAlign w:val="bottom"/>
            <w:gridSpan w:val="9"/>
          </w:tcPr>
          <w:p>
            <w:pPr>
              <w:jc w:val="center"/>
              <w:ind w:right="2012"/>
              <w:spacing w:after="0"/>
              <w:rPr>
                <w:sz w:val="20"/>
                <w:szCs w:val="20"/>
                <w:color w:val="auto"/>
              </w:rPr>
            </w:pPr>
            <w:r>
              <w:rPr>
                <w:rFonts w:ascii="Arial" w:cs="Arial" w:eastAsia="Arial" w:hAnsi="Arial"/>
                <w:sz w:val="16"/>
                <w:szCs w:val="16"/>
                <w:b w:val="1"/>
                <w:bCs w:val="1"/>
                <w:color w:val="auto"/>
                <w:w w:val="90"/>
              </w:rPr>
              <w:t>Registrant’s telephone number, including area code: (408) 717-6000</w:t>
            </w:r>
          </w:p>
        </w:tc>
      </w:tr>
      <w:tr>
        <w:trPr>
          <w:trHeight w:val="236"/>
        </w:trPr>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780" w:type="dxa"/>
            <w:vAlign w:val="bottom"/>
          </w:tcPr>
          <w:p>
            <w:pPr>
              <w:spacing w:after="0"/>
              <w:rPr>
                <w:sz w:val="20"/>
                <w:szCs w:val="20"/>
                <w:color w:val="auto"/>
              </w:rPr>
            </w:pPr>
          </w:p>
        </w:tc>
      </w:tr>
      <w:tr>
        <w:trPr>
          <w:trHeight w:val="44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5"/>
          </w:tcPr>
          <w:p>
            <w:pPr>
              <w:jc w:val="center"/>
              <w:ind w:right="1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95"/>
        </w:trPr>
        <w:tc>
          <w:tcPr>
            <w:tcW w:w="11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3"/>
          </w:tcPr>
          <w:p>
            <w:pPr>
              <w:jc w:val="center"/>
              <w:ind w:left="361"/>
              <w:spacing w:after="0"/>
              <w:rPr>
                <w:sz w:val="20"/>
                <w:szCs w:val="20"/>
                <w:color w:val="auto"/>
              </w:rPr>
            </w:pPr>
            <w:r>
              <w:rPr>
                <w:rFonts w:ascii="Arial" w:cs="Arial" w:eastAsia="Arial" w:hAnsi="Arial"/>
                <w:sz w:val="16"/>
                <w:szCs w:val="16"/>
                <w:b w:val="1"/>
                <w:bCs w:val="1"/>
                <w:color w:val="auto"/>
                <w:w w:val="90"/>
              </w:rPr>
              <w:t>Trading symbol(s)</w:t>
            </w:r>
          </w:p>
        </w:tc>
        <w:tc>
          <w:tcPr>
            <w:tcW w:w="360" w:type="dxa"/>
            <w:vAlign w:val="bottom"/>
          </w:tcPr>
          <w:p>
            <w:pPr>
              <w:spacing w:after="0"/>
              <w:rPr>
                <w:sz w:val="16"/>
                <w:szCs w:val="16"/>
                <w:color w:val="auto"/>
              </w:rPr>
            </w:pPr>
          </w:p>
        </w:tc>
        <w:tc>
          <w:tcPr>
            <w:tcW w:w="3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198"/>
        </w:trPr>
        <w:tc>
          <w:tcPr>
            <w:tcW w:w="3220" w:type="dxa"/>
            <w:vAlign w:val="bottom"/>
            <w:gridSpan w:val="4"/>
          </w:tcPr>
          <w:p>
            <w:pPr>
              <w:jc w:val="center"/>
              <w:ind w:left="310"/>
              <w:spacing w:after="0"/>
              <w:rPr>
                <w:sz w:val="20"/>
                <w:szCs w:val="20"/>
                <w:color w:val="auto"/>
              </w:rPr>
            </w:pPr>
            <w:r>
              <w:rPr>
                <w:rFonts w:ascii="Arial" w:cs="Arial" w:eastAsia="Arial" w:hAnsi="Arial"/>
                <w:sz w:val="14"/>
                <w:szCs w:val="14"/>
                <w:color w:val="auto"/>
                <w:w w:val="91"/>
              </w:rPr>
              <w:t>Common Stock, $0.01 Par Value Per Share</w:t>
            </w:r>
          </w:p>
        </w:tc>
        <w:tc>
          <w:tcPr>
            <w:tcW w:w="1420" w:type="dxa"/>
            <w:vAlign w:val="bottom"/>
          </w:tcPr>
          <w:p>
            <w:pPr>
              <w:spacing w:after="0"/>
              <w:rPr>
                <w:sz w:val="17"/>
                <w:szCs w:val="17"/>
                <w:color w:val="auto"/>
              </w:rPr>
            </w:pPr>
          </w:p>
        </w:tc>
        <w:tc>
          <w:tcPr>
            <w:tcW w:w="2240" w:type="dxa"/>
            <w:vAlign w:val="bottom"/>
            <w:gridSpan w:val="2"/>
          </w:tcPr>
          <w:p>
            <w:pPr>
              <w:jc w:val="center"/>
              <w:ind w:right="980"/>
              <w:spacing w:after="0"/>
              <w:rPr>
                <w:sz w:val="20"/>
                <w:szCs w:val="20"/>
                <w:color w:val="auto"/>
              </w:rPr>
            </w:pPr>
            <w:r>
              <w:rPr>
                <w:rFonts w:ascii="Arial" w:cs="Arial" w:eastAsia="Arial" w:hAnsi="Arial"/>
                <w:sz w:val="14"/>
                <w:szCs w:val="14"/>
                <w:color w:val="auto"/>
              </w:rPr>
              <w:t>WDC</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80" w:type="dxa"/>
            <w:vAlign w:val="bottom"/>
          </w:tcPr>
          <w:p>
            <w:pPr>
              <w:jc w:val="center"/>
              <w:ind w:right="172"/>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80" w:type="dxa"/>
            <w:vAlign w:val="bottom"/>
          </w:tcPr>
          <w:p>
            <w:pPr>
              <w:jc w:val="center"/>
              <w:ind w:right="152"/>
              <w:spacing w:after="0"/>
              <w:rPr>
                <w:sz w:val="20"/>
                <w:szCs w:val="20"/>
                <w:color w:val="auto"/>
              </w:rPr>
            </w:pPr>
            <w:r>
              <w:rPr>
                <w:rFonts w:ascii="Arial" w:cs="Arial" w:eastAsia="Arial" w:hAnsi="Arial"/>
                <w:sz w:val="14"/>
                <w:szCs w:val="14"/>
                <w:color w:val="auto"/>
                <w:w w:val="94"/>
              </w:rPr>
              <w:t>(Nasdaq Global Select Market)</w:t>
            </w:r>
          </w:p>
        </w:tc>
      </w:tr>
      <w:tr>
        <w:trPr>
          <w:trHeight w:val="448"/>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5"/>
          </w:tcPr>
          <w:p>
            <w:pPr>
              <w:jc w:val="center"/>
              <w:ind w:right="1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86"/>
        </w:trPr>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1"/>
              </w:rPr>
              <w:t>None</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93"/>
        </w:trPr>
        <w:tc>
          <w:tcPr>
            <w:tcW w:w="3120" w:type="dxa"/>
            <w:vAlign w:val="bottom"/>
            <w:gridSpan w:val="3"/>
          </w:tcPr>
          <w:p>
            <w:pPr>
              <w:spacing w:after="0"/>
              <w:rPr>
                <w:sz w:val="8"/>
                <w:szCs w:val="8"/>
                <w:color w:val="auto"/>
              </w:rPr>
            </w:pPr>
          </w:p>
        </w:tc>
        <w:tc>
          <w:tcPr>
            <w:tcW w:w="3760" w:type="dxa"/>
            <w:vAlign w:val="bottom"/>
            <w:tcBorders>
              <w:bottom w:val="single" w:sz="8" w:color="auto"/>
            </w:tcBorders>
            <w:gridSpan w:val="4"/>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r>
      <w:tr>
        <w:trPr>
          <w:trHeight w:val="451"/>
        </w:trPr>
        <w:tc>
          <w:tcPr>
            <w:tcW w:w="6880" w:type="dxa"/>
            <w:vAlign w:val="bottom"/>
            <w:gridSpan w:val="7"/>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82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38"/>
        </w:trPr>
        <w:tc>
          <w:tcPr>
            <w:tcW w:w="6880" w:type="dxa"/>
            <w:vAlign w:val="bottom"/>
            <w:gridSpan w:val="7"/>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40" w:type="dxa"/>
            <w:vAlign w:val="bottom"/>
          </w:tcPr>
          <w:p>
            <w:pPr>
              <w:spacing w:after="0"/>
              <w:rPr>
                <w:sz w:val="24"/>
                <w:szCs w:val="24"/>
                <w:color w:val="auto"/>
              </w:rPr>
            </w:pPr>
          </w:p>
        </w:tc>
        <w:tc>
          <w:tcPr>
            <w:tcW w:w="278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31" w:lineRule="exact"/>
        <w:rPr>
          <w:sz w:val="24"/>
          <w:szCs w:val="24"/>
          <w:color w:val="auto"/>
        </w:rPr>
      </w:pPr>
    </w:p>
    <w:p>
      <w:pPr>
        <w:ind w:firstLine="324"/>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ind w:right="180" w:firstLine="324"/>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w:t>
      </w:r>
    </w:p>
    <w:p>
      <w:pPr>
        <w:sectPr>
          <w:pgSz w:w="11900" w:h="16876" w:orient="portrait"/>
          <w:cols w:equalWidth="0" w:num="1">
            <w:col w:w="11180"/>
          </w:cols>
          <w:pgMar w:left="320" w:top="1084" w:right="399" w:bottom="0" w:gutter="0" w:footer="0" w:header="0"/>
        </w:sectPr>
      </w:pPr>
    </w:p>
    <w:p>
      <w:pPr>
        <w:spacing w:after="0" w:line="33" w:lineRule="exact"/>
        <w:rPr>
          <w:sz w:val="24"/>
          <w:szCs w:val="24"/>
          <w:color w:val="auto"/>
        </w:rPr>
      </w:pPr>
    </w:p>
    <w:p>
      <w:pPr>
        <w:jc w:val="center"/>
        <w:spacing w:after="0" w:line="343" w:lineRule="auto"/>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 Large accelerated filer               Accelerated filer                Non-accelerated filer            Smaller reporting company</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193" w:lineRule="exact"/>
        <w:rPr>
          <w:sz w:val="24"/>
          <w:szCs w:val="24"/>
          <w:color w:val="auto"/>
        </w:rPr>
      </w:pPr>
    </w:p>
    <w:p>
      <w:pPr>
        <w:sectPr>
          <w:pgSz w:w="11900" w:h="16876" w:orient="portrait"/>
          <w:cols w:equalWidth="0" w:num="2">
            <w:col w:w="9100" w:space="200"/>
            <w:col w:w="1880"/>
          </w:cols>
          <w:pgMar w:left="320" w:top="1084" w:right="399" w:bottom="0" w:gutter="0" w:footer="0" w:header="0"/>
          <w:type w:val="continuous"/>
        </w:sectPr>
      </w:pPr>
    </w:p>
    <w:p>
      <w:pPr>
        <w:ind w:left="12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4"/>
          <w:szCs w:val="24"/>
          <w:color w:val="auto"/>
        </w:rPr>
      </w:pPr>
    </w:p>
    <w:p>
      <w:pPr>
        <w:sectPr>
          <w:pgSz w:w="11900" w:h="16876" w:orient="portrait"/>
          <w:cols w:equalWidth="0" w:num="5">
            <w:col w:w="2560" w:space="720"/>
            <w:col w:w="1520" w:space="720"/>
            <w:col w:w="1520" w:space="720"/>
            <w:col w:w="1540" w:space="720"/>
            <w:col w:w="1160"/>
          </w:cols>
          <w:pgMar w:left="320" w:top="1084" w:right="399" w:bottom="0" w:gutter="0" w:footer="0" w:header="0"/>
          <w:type w:val="continuous"/>
        </w:sectPr>
      </w:pPr>
    </w:p>
    <w:p>
      <w:pPr>
        <w:spacing w:after="0" w:line="127" w:lineRule="exact"/>
        <w:rPr>
          <w:sz w:val="24"/>
          <w:szCs w:val="24"/>
          <w:color w:val="auto"/>
        </w:rPr>
      </w:pPr>
    </w:p>
    <w:p>
      <w:pPr>
        <w:ind w:right="180" w:firstLine="324"/>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13" w:lineRule="exact"/>
        <w:rPr>
          <w:sz w:val="24"/>
          <w:szCs w:val="24"/>
          <w:color w:val="auto"/>
        </w:rPr>
      </w:pPr>
    </w:p>
    <w:p>
      <w:pPr>
        <w:ind w:right="140" w:firstLine="324"/>
        <w:spacing w:after="0" w:line="19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32" w:lineRule="exact"/>
        <w:rPr>
          <w:sz w:val="24"/>
          <w:szCs w:val="24"/>
          <w:color w:val="auto"/>
        </w:rPr>
      </w:pPr>
    </w:p>
    <w:p>
      <w:pPr>
        <w:ind w:right="200" w:firstLine="324"/>
        <w:spacing w:after="0" w:line="211" w:lineRule="exact"/>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7"/>
          <w:szCs w:val="17"/>
          <w:color w:val="auto"/>
        </w:rPr>
        <w:t xml:space="preserve"> </w:t>
      </w:r>
      <w:r>
        <w:rPr>
          <w:rFonts w:ascii="MS PGothic" w:cs="MS PGothic" w:eastAsia="MS PGothic" w:hAnsi="MS PGothic"/>
          <w:sz w:val="14"/>
          <w:szCs w:val="14"/>
          <w:color w:val="auto"/>
        </w:rPr>
        <w:t>☐</w:t>
      </w:r>
    </w:p>
    <w:p>
      <w:pPr>
        <w:sectPr>
          <w:pgSz w:w="11900" w:h="16876" w:orient="portrait"/>
          <w:cols w:equalWidth="0" w:num="1">
            <w:col w:w="11180"/>
          </w:cols>
          <w:pgMar w:left="320" w:top="1084" w:right="399" w:bottom="0" w:gutter="0" w:footer="0" w:header="0"/>
          <w:type w:val="continuous"/>
        </w:sectPr>
      </w:pPr>
    </w:p>
    <w:bookmarkStart w:id="1" w:name="page2"/>
    <w:bookmarkEnd w:id="1"/>
    <w:p>
      <w:pPr>
        <w:ind w:right="480" w:firstLine="324"/>
        <w:spacing w:after="0" w:line="18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97" w:lineRule="exact"/>
        <w:rPr>
          <w:sz w:val="20"/>
          <w:szCs w:val="20"/>
          <w:color w:val="auto"/>
        </w:rPr>
      </w:pPr>
    </w:p>
    <w:p>
      <w:pPr>
        <w:ind w:left="340"/>
        <w:spacing w:after="0" w:line="161" w:lineRule="exact"/>
        <w:tabs>
          <w:tab w:leader="none" w:pos="6380" w:val="left"/>
          <w:tab w:leader="none" w:pos="6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2" w:lineRule="exact"/>
        <w:rPr>
          <w:sz w:val="20"/>
          <w:szCs w:val="20"/>
          <w:color w:val="auto"/>
        </w:rPr>
      </w:pPr>
    </w:p>
    <w:p>
      <w:pPr>
        <w:ind w:firstLine="324"/>
        <w:spacing w:after="0" w:line="27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December 30, 2022, the last business day of the registrant’s most recently completed second fiscal quarter, was $7.73 billion, based on the closing sale price as reported on the Nasdaq Global Select Market.</w:t>
      </w:r>
    </w:p>
    <w:p>
      <w:pPr>
        <w:spacing w:after="0" w:line="133"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There were 321,895,961 shares of common stock, par value $0.01 per share, outstanding as of the close of business on 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175260</wp:posOffset>
            </wp:positionV>
            <wp:extent cx="2768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62" w:lineRule="exact"/>
        <w:rPr>
          <w:sz w:val="20"/>
          <w:szCs w:val="20"/>
          <w:color w:val="auto"/>
        </w:rPr>
      </w:pPr>
    </w:p>
    <w:p>
      <w:pPr>
        <w:ind w:right="80" w:firstLine="324"/>
        <w:spacing w:after="0" w:line="277" w:lineRule="auto"/>
        <w:rPr>
          <w:sz w:val="20"/>
          <w:szCs w:val="20"/>
          <w:color w:val="auto"/>
        </w:rPr>
      </w:pPr>
      <w:r>
        <w:rPr>
          <w:rFonts w:ascii="Arial" w:cs="Arial" w:eastAsia="Arial" w:hAnsi="Arial"/>
          <w:sz w:val="14"/>
          <w:szCs w:val="14"/>
          <w:color w:val="auto"/>
        </w:rPr>
        <w:t>Part III incorporates by reference certain information from the registrant’s definitive proxy statement (the “Proxy Statement”) for the 2023 Annual Meeting of Stockholders, which will be filed with the Securities and Exchange Commission within 120 days after the end of the 2023 fiscal year. Except with respect to information specifically incorporated by reference in this Form 10-K, the Proxy Statement is not deemed to be filed as 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840" w:type="dxa"/>
            <w:vAlign w:val="bottom"/>
          </w:tcPr>
          <w:p>
            <w:pPr>
              <w:spacing w:after="0"/>
              <w:rPr>
                <w:sz w:val="22"/>
                <w:szCs w:val="22"/>
                <w:color w:val="auto"/>
              </w:rPr>
            </w:pPr>
          </w:p>
        </w:tc>
        <w:tc>
          <w:tcPr>
            <w:tcW w:w="8760" w:type="dxa"/>
            <w:vAlign w:val="bottom"/>
          </w:tcPr>
          <w:p>
            <w:pPr>
              <w:jc w:val="center"/>
              <w:ind w:left="729"/>
              <w:spacing w:after="0"/>
              <w:rPr>
                <w:sz w:val="20"/>
                <w:szCs w:val="20"/>
                <w:color w:val="auto"/>
              </w:rPr>
            </w:pPr>
            <w:r>
              <w:rPr>
                <w:rFonts w:ascii="Arial" w:cs="Arial" w:eastAsia="Arial" w:hAnsi="Arial"/>
                <w:sz w:val="22"/>
                <w:szCs w:val="22"/>
                <w:b w:val="1"/>
                <w:bCs w:val="1"/>
                <w:color w:val="auto"/>
                <w:w w:val="99"/>
              </w:rPr>
              <w:t>WESTERN DIGITAL CORPORATION</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40" w:type="dxa"/>
            <w:vAlign w:val="bottom"/>
          </w:tcPr>
          <w:p>
            <w:pPr>
              <w:spacing w:after="0"/>
              <w:rPr>
                <w:sz w:val="24"/>
                <w:szCs w:val="24"/>
                <w:color w:val="auto"/>
              </w:rPr>
            </w:pPr>
          </w:p>
        </w:tc>
        <w:tc>
          <w:tcPr>
            <w:tcW w:w="8760" w:type="dxa"/>
            <w:vAlign w:val="bottom"/>
          </w:tcPr>
          <w:p>
            <w:pPr>
              <w:jc w:val="center"/>
              <w:ind w:left="729"/>
              <w:spacing w:after="0"/>
              <w:rPr>
                <w:sz w:val="20"/>
                <w:szCs w:val="20"/>
                <w:color w:val="auto"/>
              </w:rPr>
            </w:pPr>
            <w:r>
              <w:rPr>
                <w:rFonts w:ascii="Arial" w:cs="Arial" w:eastAsia="Arial" w:hAnsi="Arial"/>
                <w:sz w:val="22"/>
                <w:szCs w:val="22"/>
                <w:b w:val="1"/>
                <w:bCs w:val="1"/>
                <w:color w:val="auto"/>
              </w:rPr>
              <w:t>INDEX</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640" w:type="dxa"/>
            <w:vAlign w:val="bottom"/>
          </w:tcPr>
          <w:p>
            <w:pPr>
              <w:ind w:left="4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39"/>
        </w:trPr>
        <w:tc>
          <w:tcPr>
            <w:tcW w:w="840" w:type="dxa"/>
            <w:vAlign w:val="bottom"/>
          </w:tcPr>
          <w:p>
            <w:pPr>
              <w:spacing w:after="0"/>
              <w:rPr>
                <w:sz w:val="3"/>
                <w:szCs w:val="3"/>
                <w:color w:val="auto"/>
              </w:rPr>
            </w:pPr>
          </w:p>
        </w:tc>
        <w:tc>
          <w:tcPr>
            <w:tcW w:w="8760" w:type="dxa"/>
            <w:vAlign w:val="bottom"/>
            <w:vMerge w:val="restart"/>
          </w:tcPr>
          <w:p>
            <w:pPr>
              <w:jc w:val="center"/>
              <w:ind w:left="729"/>
              <w:spacing w:after="0"/>
              <w:rPr>
                <w:sz w:val="20"/>
                <w:szCs w:val="20"/>
                <w:color w:val="auto"/>
              </w:rPr>
            </w:pPr>
            <w:r>
              <w:rPr>
                <w:rFonts w:ascii="Arial" w:cs="Arial" w:eastAsia="Arial" w:hAnsi="Arial"/>
                <w:sz w:val="18"/>
                <w:szCs w:val="18"/>
                <w:b w:val="1"/>
                <w:bCs w:val="1"/>
                <w:color w:val="auto"/>
                <w:w w:val="98"/>
              </w:rPr>
              <w:t>PART I</w:t>
            </w: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Business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1A.</w:t>
            </w:r>
          </w:p>
        </w:tc>
        <w:tc>
          <w:tcPr>
            <w:tcW w:w="876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1640" w:type="dxa"/>
            <w:vAlign w:val="bottom"/>
          </w:tcPr>
          <w:p>
            <w:pPr>
              <w:jc w:val="center"/>
              <w:spacing w:after="0"/>
              <w:rPr>
                <w:sz w:val="20"/>
                <w:szCs w:val="20"/>
                <w:color w:val="auto"/>
              </w:rPr>
            </w:pPr>
            <w:r>
              <w:rPr>
                <w:rFonts w:ascii="Arial" w:cs="Arial" w:eastAsia="Arial" w:hAnsi="Arial"/>
                <w:sz w:val="18"/>
                <w:szCs w:val="18"/>
                <w:color w:val="0000FF"/>
                <w:w w:val="89"/>
              </w:rPr>
              <w:t>11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1B.</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Unresolved Staff Comments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26</w:t>
            </w: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8760" w:type="dxa"/>
            <w:vAlign w:val="bottom"/>
          </w:tcPr>
          <w:p>
            <w:pPr>
              <w:ind w:left="160"/>
              <w:spacing w:after="0"/>
              <w:rPr>
                <w:sz w:val="20"/>
                <w:szCs w:val="20"/>
                <w:color w:val="auto"/>
              </w:rPr>
            </w:pPr>
            <w:r>
              <w:rPr>
                <w:rFonts w:ascii="Arial" w:cs="Arial" w:eastAsia="Arial" w:hAnsi="Arial"/>
                <w:sz w:val="18"/>
                <w:szCs w:val="18"/>
                <w:color w:val="auto"/>
              </w:rPr>
              <w:t>Properties</w:t>
            </w:r>
          </w:p>
        </w:tc>
        <w:tc>
          <w:tcPr>
            <w:tcW w:w="1640" w:type="dxa"/>
            <w:vAlign w:val="bottom"/>
          </w:tcPr>
          <w:p>
            <w:pPr>
              <w:jc w:val="center"/>
              <w:spacing w:after="0"/>
              <w:rPr>
                <w:sz w:val="20"/>
                <w:szCs w:val="20"/>
                <w:color w:val="auto"/>
              </w:rPr>
            </w:pPr>
            <w:r>
              <w:rPr>
                <w:rFonts w:ascii="Arial" w:cs="Arial" w:eastAsia="Arial" w:hAnsi="Arial"/>
                <w:sz w:val="18"/>
                <w:szCs w:val="18"/>
                <w:color w:val="0000FF"/>
                <w:w w:val="89"/>
              </w:rPr>
              <w:t>27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3.</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Legal Proceedings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4.</w:t>
            </w:r>
          </w:p>
        </w:tc>
        <w:tc>
          <w:tcPr>
            <w:tcW w:w="8760" w:type="dxa"/>
            <w:vAlign w:val="bottom"/>
          </w:tcPr>
          <w:p>
            <w:pPr>
              <w:ind w:left="160"/>
              <w:spacing w:after="0"/>
              <w:rPr>
                <w:sz w:val="20"/>
                <w:szCs w:val="20"/>
                <w:color w:val="auto"/>
              </w:rPr>
            </w:pPr>
            <w:r>
              <w:rPr>
                <w:rFonts w:ascii="Arial" w:cs="Arial" w:eastAsia="Arial" w:hAnsi="Arial"/>
                <w:sz w:val="18"/>
                <w:szCs w:val="18"/>
                <w:color w:val="auto"/>
              </w:rPr>
              <w:t>Mine Safety Disclosures</w:t>
            </w:r>
          </w:p>
        </w:tc>
        <w:tc>
          <w:tcPr>
            <w:tcW w:w="1640" w:type="dxa"/>
            <w:vAlign w:val="bottom"/>
          </w:tcPr>
          <w:p>
            <w:pPr>
              <w:jc w:val="center"/>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8760" w:type="dxa"/>
            <w:vAlign w:val="bottom"/>
          </w:tcPr>
          <w:p>
            <w:pPr>
              <w:jc w:val="center"/>
              <w:ind w:left="729"/>
              <w:spacing w:after="0"/>
              <w:rPr>
                <w:sz w:val="20"/>
                <w:szCs w:val="20"/>
                <w:color w:val="auto"/>
              </w:rPr>
            </w:pPr>
            <w:r>
              <w:rPr>
                <w:rFonts w:ascii="Arial" w:cs="Arial" w:eastAsia="Arial" w:hAnsi="Arial"/>
                <w:sz w:val="18"/>
                <w:szCs w:val="18"/>
                <w:b w:val="1"/>
                <w:bCs w:val="1"/>
                <w:color w:val="auto"/>
              </w:rPr>
              <w:t>PART II</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5.</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Market for Registrant’s Common Equity, Related Stockholder Matters and Issuer Purchases of Equity Securities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8760" w:type="dxa"/>
            <w:vAlign w:val="bottom"/>
          </w:tcPr>
          <w:p>
            <w:pPr>
              <w:ind w:left="160"/>
              <w:spacing w:after="0"/>
              <w:rPr>
                <w:sz w:val="20"/>
                <w:szCs w:val="20"/>
                <w:color w:val="auto"/>
              </w:rPr>
            </w:pPr>
            <w:r>
              <w:rPr>
                <w:rFonts w:ascii="Arial" w:cs="Arial" w:eastAsia="Arial" w:hAnsi="Arial"/>
                <w:sz w:val="18"/>
                <w:szCs w:val="18"/>
                <w:color w:val="auto"/>
              </w:rPr>
              <w:t>[Reserved]</w:t>
            </w:r>
          </w:p>
        </w:tc>
        <w:tc>
          <w:tcPr>
            <w:tcW w:w="1640" w:type="dxa"/>
            <w:vAlign w:val="bottom"/>
          </w:tcPr>
          <w:p>
            <w:pPr>
              <w:jc w:val="center"/>
              <w:spacing w:after="0"/>
              <w:rPr>
                <w:sz w:val="20"/>
                <w:szCs w:val="20"/>
                <w:color w:val="auto"/>
              </w:rPr>
            </w:pPr>
            <w:r>
              <w:rPr>
                <w:rFonts w:ascii="Arial" w:cs="Arial" w:eastAsia="Arial" w:hAnsi="Arial"/>
                <w:sz w:val="18"/>
                <w:szCs w:val="18"/>
                <w:color w:val="0000FF"/>
                <w:w w:val="89"/>
              </w:rPr>
              <w:t>32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7.</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33</w:t>
            </w: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7A.</w:t>
            </w:r>
          </w:p>
        </w:tc>
        <w:tc>
          <w:tcPr>
            <w:tcW w:w="876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640" w:type="dxa"/>
            <w:vAlign w:val="bottom"/>
          </w:tcPr>
          <w:p>
            <w:pPr>
              <w:jc w:val="center"/>
              <w:spacing w:after="0"/>
              <w:rPr>
                <w:sz w:val="20"/>
                <w:szCs w:val="20"/>
                <w:color w:val="auto"/>
              </w:rPr>
            </w:pPr>
            <w:r>
              <w:rPr>
                <w:rFonts w:ascii="Arial" w:cs="Arial" w:eastAsia="Arial" w:hAnsi="Arial"/>
                <w:sz w:val="18"/>
                <w:szCs w:val="18"/>
                <w:color w:val="0000FF"/>
                <w:w w:val="89"/>
              </w:rPr>
              <w:t>48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8.</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Financial Statements and Supplementary Data</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9.</w:t>
            </w:r>
          </w:p>
        </w:tc>
        <w:tc>
          <w:tcPr>
            <w:tcW w:w="8760" w:type="dxa"/>
            <w:vAlign w:val="bottom"/>
          </w:tcPr>
          <w:p>
            <w:pPr>
              <w:ind w:left="1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640" w:type="dxa"/>
            <w:vAlign w:val="bottom"/>
          </w:tcPr>
          <w:p>
            <w:pPr>
              <w:jc w:val="center"/>
              <w:spacing w:after="0"/>
              <w:rPr>
                <w:sz w:val="20"/>
                <w:szCs w:val="20"/>
                <w:color w:val="auto"/>
              </w:rPr>
            </w:pPr>
            <w:r>
              <w:rPr>
                <w:rFonts w:ascii="Arial" w:cs="Arial" w:eastAsia="Arial" w:hAnsi="Arial"/>
                <w:sz w:val="18"/>
                <w:szCs w:val="18"/>
                <w:color w:val="0000FF"/>
                <w:w w:val="93"/>
              </w:rPr>
              <w:t>107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9A.</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Controls and Procedures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93"/>
              </w:rPr>
              <w:t>107</w:t>
            </w: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9B.</w:t>
            </w:r>
          </w:p>
        </w:tc>
        <w:tc>
          <w:tcPr>
            <w:tcW w:w="876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640" w:type="dxa"/>
            <w:vAlign w:val="bottom"/>
          </w:tcPr>
          <w:p>
            <w:pPr>
              <w:jc w:val="center"/>
              <w:spacing w:after="0"/>
              <w:rPr>
                <w:sz w:val="20"/>
                <w:szCs w:val="20"/>
                <w:color w:val="auto"/>
              </w:rPr>
            </w:pPr>
            <w:r>
              <w:rPr>
                <w:rFonts w:ascii="Arial" w:cs="Arial" w:eastAsia="Arial" w:hAnsi="Arial"/>
                <w:sz w:val="18"/>
                <w:szCs w:val="18"/>
                <w:color w:val="0000FF"/>
                <w:w w:val="93"/>
              </w:rPr>
              <w:t>108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9C.</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93"/>
              </w:rPr>
              <w:t>108</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8760" w:type="dxa"/>
            <w:vAlign w:val="bottom"/>
          </w:tcPr>
          <w:p>
            <w:pPr>
              <w:jc w:val="center"/>
              <w:ind w:left="709"/>
              <w:spacing w:after="0"/>
              <w:rPr>
                <w:sz w:val="20"/>
                <w:szCs w:val="20"/>
                <w:color w:val="auto"/>
              </w:rPr>
            </w:pPr>
            <w:r>
              <w:rPr>
                <w:rFonts w:ascii="Arial" w:cs="Arial" w:eastAsia="Arial" w:hAnsi="Arial"/>
                <w:sz w:val="18"/>
                <w:szCs w:val="18"/>
                <w:b w:val="1"/>
                <w:bCs w:val="1"/>
                <w:color w:val="auto"/>
              </w:rPr>
              <w:t>PART III</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10.</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Directors, Executive Officers and Corporate Governance</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93"/>
              </w:rPr>
              <w:t>109</w:t>
            </w: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11.</w:t>
            </w:r>
          </w:p>
        </w:tc>
        <w:tc>
          <w:tcPr>
            <w:tcW w:w="8760" w:type="dxa"/>
            <w:vAlign w:val="bottom"/>
          </w:tcPr>
          <w:p>
            <w:pPr>
              <w:ind w:left="160"/>
              <w:spacing w:after="0"/>
              <w:rPr>
                <w:sz w:val="20"/>
                <w:szCs w:val="20"/>
                <w:color w:val="auto"/>
              </w:rPr>
            </w:pPr>
            <w:r>
              <w:rPr>
                <w:rFonts w:ascii="Arial" w:cs="Arial" w:eastAsia="Arial" w:hAnsi="Arial"/>
                <w:sz w:val="18"/>
                <w:szCs w:val="18"/>
                <w:color w:val="auto"/>
              </w:rPr>
              <w:t>Executive Compensation</w:t>
            </w:r>
          </w:p>
        </w:tc>
        <w:tc>
          <w:tcPr>
            <w:tcW w:w="1640" w:type="dxa"/>
            <w:vAlign w:val="bottom"/>
          </w:tcPr>
          <w:p>
            <w:pPr>
              <w:jc w:val="center"/>
              <w:spacing w:after="0"/>
              <w:rPr>
                <w:sz w:val="20"/>
                <w:szCs w:val="20"/>
                <w:color w:val="auto"/>
              </w:rPr>
            </w:pPr>
            <w:r>
              <w:rPr>
                <w:rFonts w:ascii="Arial" w:cs="Arial" w:eastAsia="Arial" w:hAnsi="Arial"/>
                <w:sz w:val="18"/>
                <w:szCs w:val="18"/>
                <w:color w:val="0000FF"/>
                <w:w w:val="93"/>
              </w:rPr>
              <w:t>109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12.</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93"/>
              </w:rPr>
              <w:t>109</w:t>
            </w: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13.</w:t>
            </w:r>
          </w:p>
        </w:tc>
        <w:tc>
          <w:tcPr>
            <w:tcW w:w="8760" w:type="dxa"/>
            <w:vAlign w:val="bottom"/>
          </w:tcPr>
          <w:p>
            <w:pPr>
              <w:ind w:left="1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640" w:type="dxa"/>
            <w:vAlign w:val="bottom"/>
          </w:tcPr>
          <w:p>
            <w:pPr>
              <w:jc w:val="center"/>
              <w:spacing w:after="0"/>
              <w:rPr>
                <w:sz w:val="20"/>
                <w:szCs w:val="20"/>
                <w:color w:val="auto"/>
              </w:rPr>
            </w:pPr>
            <w:r>
              <w:rPr>
                <w:rFonts w:ascii="Arial" w:cs="Arial" w:eastAsia="Arial" w:hAnsi="Arial"/>
                <w:sz w:val="18"/>
                <w:szCs w:val="18"/>
                <w:color w:val="0000FF"/>
                <w:w w:val="93"/>
              </w:rPr>
              <w:t>109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14.</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Principal Accountant Fees and Services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93"/>
              </w:rPr>
              <w:t>109</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8760" w:type="dxa"/>
            <w:vAlign w:val="bottom"/>
          </w:tcPr>
          <w:p>
            <w:pPr>
              <w:jc w:val="center"/>
              <w:ind w:left="709"/>
              <w:spacing w:after="0"/>
              <w:rPr>
                <w:sz w:val="20"/>
                <w:szCs w:val="20"/>
                <w:color w:val="auto"/>
              </w:rPr>
            </w:pPr>
            <w:r>
              <w:rPr>
                <w:rFonts w:ascii="Arial" w:cs="Arial" w:eastAsia="Arial" w:hAnsi="Arial"/>
                <w:sz w:val="18"/>
                <w:szCs w:val="18"/>
                <w:b w:val="1"/>
                <w:bCs w:val="1"/>
                <w:color w:val="auto"/>
              </w:rPr>
              <w:t>PART IV</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15.</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Exhibits and Financial Statement Schedules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6"/>
              </w:rPr>
              <w:t>110</w:t>
            </w: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16.</w:t>
            </w:r>
          </w:p>
        </w:tc>
        <w:tc>
          <w:tcPr>
            <w:tcW w:w="8760" w:type="dxa"/>
            <w:vAlign w:val="bottom"/>
          </w:tcPr>
          <w:p>
            <w:pPr>
              <w:ind w:left="160"/>
              <w:spacing w:after="0"/>
              <w:rPr>
                <w:sz w:val="20"/>
                <w:szCs w:val="20"/>
                <w:color w:val="auto"/>
              </w:rPr>
            </w:pPr>
            <w:r>
              <w:rPr>
                <w:rFonts w:ascii="Arial" w:cs="Arial" w:eastAsia="Arial" w:hAnsi="Arial"/>
                <w:sz w:val="18"/>
                <w:szCs w:val="18"/>
                <w:color w:val="auto"/>
              </w:rPr>
              <w:t>Form 10-K Summary</w:t>
            </w:r>
          </w:p>
        </w:tc>
        <w:tc>
          <w:tcPr>
            <w:tcW w:w="1640" w:type="dxa"/>
            <w:vAlign w:val="bottom"/>
          </w:tcPr>
          <w:p>
            <w:pPr>
              <w:jc w:val="center"/>
              <w:spacing w:after="0"/>
              <w:rPr>
                <w:sz w:val="20"/>
                <w:szCs w:val="20"/>
                <w:color w:val="auto"/>
              </w:rPr>
            </w:pPr>
            <w:r>
              <w:rPr>
                <w:rFonts w:ascii="Arial" w:cs="Arial" w:eastAsia="Arial" w:hAnsi="Arial"/>
                <w:sz w:val="18"/>
                <w:szCs w:val="18"/>
                <w:color w:val="0000FF"/>
                <w:w w:val="86"/>
              </w:rPr>
              <w:t>115</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1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Western Digital, the Western Digital logo, SanDisk and WD are registered trademarks or trademarks of Western Digital or its affiliates in the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FORWARD-LOOKING STATEMENTS</w:t>
      </w:r>
    </w:p>
    <w:p>
      <w:pPr>
        <w:spacing w:after="0" w:line="2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2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market position and portfolio synergies;</w:t>
      </w:r>
    </w:p>
    <w:p>
      <w:pPr>
        <w:spacing w:after="0" w:line="2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product plans and business strategies, including our ongoing review of strategic alternatives;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consumer trends and market conditions, market opportunities and our market position;</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impact of the network security incident;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global macroeconomic environment;</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supply chain conditions and constraints;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demand trends and market conditions for our products and expected future financial performance;</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momentum and product development and technology plans;</w:t>
      </w:r>
    </w:p>
    <w:p>
      <w:pPr>
        <w:spacing w:after="0" w:line="9" w:lineRule="exact"/>
        <w:rPr>
          <w:rFonts w:ascii="Arial" w:cs="Arial" w:eastAsia="Arial" w:hAnsi="Arial"/>
          <w:sz w:val="18"/>
          <w:szCs w:val="18"/>
          <w:i w:val="1"/>
          <w:iCs w:val="1"/>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capital expenditure plans and investments, including relating to our Flash Ventures joint venture with Kioxia Corporation (“Kioxia”) and sources of funding for related expenditures;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effective tax rate and our unrecognized tax benefits; and</w:t>
      </w:r>
    </w:p>
    <w:p>
      <w:pPr>
        <w:spacing w:after="0" w:line="9" w:lineRule="exact"/>
        <w:rPr>
          <w:rFonts w:ascii="Arial" w:cs="Arial" w:eastAsia="Arial" w:hAnsi="Arial"/>
          <w:sz w:val="18"/>
          <w:szCs w:val="18"/>
          <w:color w:val="auto"/>
        </w:rPr>
      </w:pPr>
    </w:p>
    <w:p>
      <w:pPr>
        <w:ind w:left="660" w:right="460" w:hanging="328"/>
        <w:spacing w:after="0" w:line="260"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our capital allocation plans and the sufficiency of our available liquidity to meet our working capital, debt and capital expenditure needs.</w:t>
      </w:r>
    </w:p>
    <w:p>
      <w:pPr>
        <w:spacing w:after="0" w:line="212" w:lineRule="exact"/>
        <w:rPr>
          <w:sz w:val="20"/>
          <w:szCs w:val="20"/>
          <w:color w:val="auto"/>
        </w:rPr>
      </w:pPr>
    </w:p>
    <w:p>
      <w:pPr>
        <w:ind w:right="100" w:firstLine="324"/>
        <w:spacing w:after="0" w:line="258" w:lineRule="auto"/>
        <w:rPr>
          <w:sz w:val="20"/>
          <w:szCs w:val="20"/>
          <w:color w:val="auto"/>
        </w:rPr>
      </w:pPr>
      <w:r>
        <w:rPr>
          <w:rFonts w:ascii="Arial" w:cs="Arial" w:eastAsia="Arial" w:hAnsi="Arial"/>
          <w:sz w:val="17"/>
          <w:szCs w:val="17"/>
          <w:i w:val="1"/>
          <w:iCs w:val="1"/>
          <w:color w:val="auto"/>
        </w:rPr>
        <w:t>These forward-looking statements are based on management’s current expectations, represent the most current information available to the Company as of the date of this Annual Report on Form 10-K and are subject to a number of risks, uncertainties and other factors that could cause actual results or performance to differ materially from those expressed or implied in the forward-looking statements. These risks and uncertainties are described in Part I, Item 1A of this Annual Report on Form 10-K. You are urged to carefully review the disclosures we make concerning risks and other factors that may affect the outcome of our forward-looking statements and our business and operating results, including those made in Part I, Item 1A of this Annual Report on Form 10-K and any of those made in our other reports filed with the Securities and Exchange Commission. You are cautioned not to place undue reliance on these forward-looking statements,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WEBSITE REFERENCES</w:t>
      </w:r>
    </w:p>
    <w:p>
      <w:pPr>
        <w:spacing w:after="0" w:line="256"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 xml:space="preserve">In this Annual Report on Form 10-K, we make references to our website at </w:t>
      </w:r>
      <w:r>
        <w:rPr>
          <w:rFonts w:ascii="Arial" w:cs="Arial" w:eastAsia="Arial" w:hAnsi="Arial"/>
          <w:sz w:val="18"/>
          <w:szCs w:val="18"/>
          <w:i w:val="1"/>
          <w:iCs w:val="1"/>
          <w:color w:val="auto"/>
        </w:rPr>
        <w:t>www.westerndigital.com</w:t>
      </w:r>
      <w:r>
        <w:rPr>
          <w:rFonts w:ascii="Arial" w:cs="Arial" w:eastAsia="Arial" w:hAnsi="Arial"/>
          <w:sz w:val="18"/>
          <w:szCs w:val="18"/>
          <w:color w:val="auto"/>
        </w:rPr>
        <w:t>. References to our website through this Form 10-K are provided for convenience only and the content on our website does not constitute a part of, and shall not be deemed incorporated by reference into, this Annual Report on Form 10-K.</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right="60" w:firstLine="324"/>
        <w:spacing w:after="0" w:line="257" w:lineRule="auto"/>
        <w:rPr>
          <w:sz w:val="20"/>
          <w:szCs w:val="20"/>
          <w:color w:val="auto"/>
        </w:rPr>
      </w:pPr>
      <w:r>
        <w:rPr>
          <w:rFonts w:ascii="Arial" w:cs="Arial" w:eastAsia="Arial" w:hAnsi="Arial"/>
          <w:sz w:val="17"/>
          <w:szCs w:val="17"/>
          <w:color w:val="auto"/>
        </w:rPr>
        <w:t>Western Digital Corporation (“Western Digital”) is on a mission to unlock the potential of data by harnessing the possibility to use it. We are a leading developer, manufacturer, and provider of data storage devices and solutions based on both NAND flash and hard disk drive technologies. With dedicated flash-based products (“Flash”) and hard disk drives (“HDD”) business units driving advancements in storage technologies, our broad and ever-expanding portfolio delivers powerful Flash and HDD storage solutions for everyone from students, gamers, and home offices, to the largest enterprises and public clouds to capture, preserve, access, and transform an ever-increasing diversity of data. Our broad portfolio of technology and products in Flash and HDD address multiple end markets of “Cloud”, “Client” and “Consumer.”</w:t>
      </w:r>
    </w:p>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7"/>
          <w:szCs w:val="17"/>
          <w:color w:val="auto"/>
        </w:rPr>
        <w:t>Cloud is comprised primarily of products for public or private cloud environments and end customers, which we believe we are uniquely positioned to address as the only provider of both Flash and HDD. Through the Client end market, we provide our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2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Founded in 1970 in Santa Ana, California, Western Digital is now a Standard &amp; Poor’s 500 (“S&amp;P 500”) company headquartered in San Jose, California. We have one of the technology industry’s most valuable patent portfolios with approximately 13,000 active patents worldwide. We have a rich heritage of innovation and operational excellence, a wide range of intellectual property (“IP”) assets, broad research and development (“R&amp;D”) capabilities, and large-scale, efficient manufacturing supply chains. The strong growth in the amount, value, and use of data continues, creating a global need for larger, faster and more capable storage solutions.</w:t>
      </w:r>
    </w:p>
    <w:p>
      <w:pPr>
        <w:spacing w:after="0" w:line="21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are a customer-focused organization that has developed deep relationships with industry leaders to continue to deliver innovative solutions to help users capture, store and transform data across a boundless range of applications. With much of the world’s data stored on Western Digital products, our innovation powers the global technology ecosystem from consumer devices to the edge, to the heart of the cloud. We enable cloud, Internet, and social media infrastructure players to build more powerful, cost-effective and efficient data centers. We help OEMs address storage opportunities and solutions to capture and transform data in a myriad of devices and edge technologies. We have also built strong consumer brands with tools to manage vast libraries of personal content and to push the limits of what’s possible for storage. At Western Digital, we continue to transform ourselves to address the growth in data by providing what we believe to be the broadest range of storage technologies in the industry with a comprehensive product portfolio and global reach.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5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operate in the data storage industry. The ability to access, store and share data from anywhere on any device is increasingly important to our customers and end users. From the intelligent edge to the cloud, data storage is a fundamental component underpinning the global technology architecture. Our strengths in innovation and cost leadership, diversified product portfolio and broad routes to market provide a foundation upon which we are solidifying our position as an essential building block of the digital economy. There is tremendous market opportunity flowing from the rapid global adoption of the technology architecture built with cloud infrastructure tied to intelligent endpoints all connected by high-performance networks. The value and urgency of data storage at every point across this architecture have never been clearer.</w:t>
      </w:r>
    </w:p>
    <w:p>
      <w:pPr>
        <w:spacing w:after="0" w:line="20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increase in computing complexity and advancements in artificial intelligence, along with growth in cloud computing applications, connected mobile devices and Internet-connected products, and edge devices is driving unabated growth in the volume of digital content to be stored and used. This growth has led to the creation of new form factors for data storage. The storage industry is increasingly utilizing tiered architectures with solid state drives (“SSD”), HDD and other non-volatile memory-based storage to address an expanding set of uses and applications. We believe our expertise and innovation across both Flash and HDD technologies enable us to bring powerful solutions to a broader range of applications. We continuously monitor the full array of storage technologies, including reviewing these technologies with our customers, to ensure we are appropriately resourced to meet our customers’ storage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5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i w:val="1"/>
          <w:iCs w:val="1"/>
          <w:color w:val="auto"/>
        </w:rPr>
        <w:t>Flash Technologies</w:t>
      </w:r>
      <w:r>
        <w:rPr>
          <w:rFonts w:ascii="Arial" w:cs="Arial" w:eastAsia="Arial" w:hAnsi="Arial"/>
          <w:sz w:val="16"/>
          <w:szCs w:val="16"/>
          <w:color w:val="auto"/>
        </w:rPr>
        <w:t>. Flash products provide non-volatile data storage based on flash technology. We develop and manufacture solid state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for a variety of applications including enterprise or cloud storage, client storage, automotive, mobile devices and removable memory devices. Over time, we have successfully developed and commercialized successive generations of 3-dimensional flash technology with increased numbers of storage bits per cell in an increasingly smaller form factor, further driving cost reductions. We devote significant research and development resources to the development of highly reliable, high-performance, cost-effective flash-based technology and are continually pursuing developments in next-generation flash-based technology capacities. 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 of use.</w:t>
      </w:r>
    </w:p>
    <w:p>
      <w:pPr>
        <w:spacing w:after="0" w:line="19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Hard Disk Drives. </w:t>
      </w:r>
      <w:r>
        <w:rPr>
          <w:rFonts w:ascii="Arial" w:cs="Arial" w:eastAsia="Arial" w:hAnsi="Arial"/>
          <w:sz w:val="16"/>
          <w:szCs w:val="16"/>
          <w:color w:val="auto"/>
        </w:rPr>
        <w:t>HDD products provide non-volatile data storage by recording magnetic information on a rotating disk. We develop and manufacture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the recording heads and magnetic media used in our HDD products. We have led the industry in innovation to drive increased areal density and high-performance attributes. Our improvements in HDD capacity, which lower product costs over time, have been enabled largely through advancements in magnetic recording head and media technologies. Our multi-year product roadmap for high-capacity HDD, which combine ePMR, OptiNAND, UltraSMR and triple stage actuators to deliver a cutting-edge portfolio of drives, in commercial volumes, at a wide variety of capacity points, puts Western Digital in a strong position to capitalize on the opportunities presented by the large and growing storage markets. We invest considerable resources in R&amp;D, manufacturing infrastructure and capital equipment for recording head and media technology, as well as other aspects of the magnetic recording system such as HDD mechanics, controller and firmware technology, in order to secure our competitive position and cost structure.</w:t>
      </w:r>
    </w:p>
    <w:p>
      <w:pPr>
        <w:spacing w:after="0" w:line="19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Solutions</w:t>
      </w:r>
    </w:p>
    <w:p>
      <w:pPr>
        <w:spacing w:after="0" w:line="24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Our broad portfolio of technology and products address multiple end markets of “Cloud”, “Client” and “Consumer” and are comprised of the Western Digital®, SanDisk® and WD® brands.</w:t>
      </w:r>
    </w:p>
    <w:p>
      <w:pPr>
        <w:spacing w:after="0" w:line="198" w:lineRule="exact"/>
        <w:rPr>
          <w:sz w:val="20"/>
          <w:szCs w:val="20"/>
          <w:color w:val="auto"/>
        </w:rPr>
      </w:pPr>
    </w:p>
    <w:p>
      <w:pPr>
        <w:ind w:right="80" w:firstLine="324"/>
        <w:spacing w:after="0" w:line="252" w:lineRule="auto"/>
        <w:rPr>
          <w:sz w:val="20"/>
          <w:szCs w:val="20"/>
          <w:color w:val="auto"/>
        </w:rPr>
      </w:pPr>
      <w:r>
        <w:rPr>
          <w:rFonts w:ascii="Arial" w:cs="Arial" w:eastAsia="Arial" w:hAnsi="Arial"/>
          <w:sz w:val="17"/>
          <w:szCs w:val="17"/>
          <w:color w:val="auto"/>
        </w:rPr>
        <w:t>Cloud represents a large and growing end market comprised primarily of products for public or private cloud environments and enterprise customers, which we believe we are uniquely positioned to address as the only provider of both flash and hard drive products. We provide the Cloud end market with an array of high-capacity enterprise HDD and high-performance enterprise SSD, and platforms. Our capacity enterprise hard drives provide high-capacity storage needs and a low total cost of ownership per gigabyte for the growing cloud data center and smart video system markets. These drives are primarily for use in data storage systems, in tiered storage models and where data must be stored reliably for years. Our high-performance enterprise class SSD include high-performance flash-based SSD and software solutions that are optimized for performance applications providing a range of capacity and performance levels primarily for use in enterprise servers and supporting high-volume online transactions, data analysis and other enterprise applications. We also provide higher value data storage platforms to the market.</w:t>
      </w:r>
    </w:p>
    <w:p>
      <w:pPr>
        <w:spacing w:after="0" w:line="208"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Through the Client end market, we provide numerous data solutions that we incorporate into our client’s devices, which consist of HDD and SSD desktop and notebook PCs, gaming consoles and set top boxes, as well as flash-based embedded storage products for mobile phones, tablets, notebook PCs and other portable and wearable devices, automotive applications, Internet of Things, industrial and connected home applications. Our HDD and SSD are designed for use in devices requiring high performance, reliability and capacity with various attributes such as low cost per gigabyte, quiet acoustics, low power consumption and protection against shocks.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The Consumer end market provides consumers with a portfolio of HDD and SSD embedded into external storage products and removable Flash, which include cards, universal serial bus (“USB”) flash drives and wireless drives, through our retail and channel routes to market. Our external HDD storage products in both mobile and desktop form factors provide affordable, high quality, reliable storage for backup and capacity expansion that are designed to keep digital content secure. We offer client portable SSD with a range of capacities and performance characteristics to address a broad spectrum of the client storage market. Our removable cards are designed primarily for use in consumer devices, such as mobile phones, tablets, imaging systems, cameras and smart video systems. Our USB flash drives are used in the computing and consumer markets and are designed for high-performance and reliability. Our wireless drive products allow in-field backup of created content, as well as wireless streaming of high-definition movies, photos, music and documents to tablets, smartphones and PCs.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Our industry is highly competitive. We compete with manufacturers of Flash and HDD for Cloud, Client, and Consumer end markets. In Flash, we compete with vertically integrated suppliers such as Kioxia, Micron Technology, Inc., Samsung Electronics Co., Ltd., SK hynix, Inc., Yangtze Memory Technologies Co., Ltd. and numerous smaller companies that assemble flash into products. In HDD, we compete with Seagate Technology Holdings plc and Toshiba Electronic Devices &amp; Storage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overall strategy is to leverage our innovation, technology and execution capabilities to be an industry-leading and broad-based developer, manufacturer and provider of storage devices and solutions that support the infrastructure that has enabled the unabated proliferation of data. We believe we are the only company in the world with large-scale capabilities to develop and manufacture a portfolio of integrated data storage solutions that are based on both Flash and HDD technologies. We strive to successfully execute our strategy through the following foundational elements in order to create long-term value for our customers, partners, investors and employees:</w:t>
      </w:r>
    </w:p>
    <w:p>
      <w:pPr>
        <w:spacing w:after="0" w:line="215" w:lineRule="exact"/>
        <w:rPr>
          <w:sz w:val="20"/>
          <w:szCs w:val="20"/>
          <w:color w:val="auto"/>
        </w:rPr>
      </w:pPr>
    </w:p>
    <w:p>
      <w:pPr>
        <w:ind w:left="660" w:right="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Innovation and Cost Leadership: </w:t>
      </w:r>
      <w:r>
        <w:rPr>
          <w:rFonts w:ascii="Arial" w:cs="Arial" w:eastAsia="Arial" w:hAnsi="Arial"/>
          <w:sz w:val="17"/>
          <w:szCs w:val="17"/>
          <w:color w:val="auto"/>
        </w:rPr>
        <w:t>We continue to innovate and develop advanced technologies across platforms for both Flash and HDD to deliver</w:t>
      </w:r>
      <w:r>
        <w:rPr>
          <w:rFonts w:ascii="Arial" w:cs="Arial" w:eastAsia="Arial" w:hAnsi="Arial"/>
          <w:sz w:val="17"/>
          <w:szCs w:val="17"/>
          <w:i w:val="1"/>
          <w:iCs w:val="1"/>
          <w:color w:val="auto"/>
        </w:rPr>
        <w:t xml:space="preserve"> </w:t>
      </w:r>
      <w:r>
        <w:rPr>
          <w:rFonts w:ascii="Arial" w:cs="Arial" w:eastAsia="Arial" w:hAnsi="Arial"/>
          <w:sz w:val="17"/>
          <w:szCs w:val="17"/>
          <w:color w:val="auto"/>
        </w:rPr>
        <w:t>timely new products and solutions to meet growing demands for scale, performance and cost efficiency in the market.</w:t>
      </w:r>
    </w:p>
    <w:p>
      <w:pPr>
        <w:spacing w:after="0" w:line="173" w:lineRule="exact"/>
        <w:rPr>
          <w:rFonts w:ascii="Arial" w:cs="Arial" w:eastAsia="Arial" w:hAnsi="Arial"/>
          <w:sz w:val="17"/>
          <w:szCs w:val="17"/>
          <w:color w:val="auto"/>
        </w:rPr>
      </w:pPr>
    </w:p>
    <w:p>
      <w:pPr>
        <w:ind w:left="660" w:right="4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Broad Product Portfolio: </w:t>
      </w:r>
      <w:r>
        <w:rPr>
          <w:rFonts w:ascii="Arial" w:cs="Arial" w:eastAsia="Arial" w:hAnsi="Arial"/>
          <w:sz w:val="18"/>
          <w:szCs w:val="18"/>
          <w:color w:val="auto"/>
        </w:rPr>
        <w:t>We leverage our capabilities in firmware, software and systems in both Flash and HDD to deliver compelling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differentiated integrated storage solutions to our customers that offer the best combinations of performance, cost, power consumption, form factor, quality and reliability, while creating new use cases for our solutions in emerging markets.</w:t>
      </w:r>
    </w:p>
    <w:p>
      <w:pPr>
        <w:spacing w:after="0" w:line="210"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Operational Excellence: </w:t>
      </w:r>
      <w:r>
        <w:rPr>
          <w:rFonts w:ascii="Arial" w:cs="Arial" w:eastAsia="Arial" w:hAnsi="Arial"/>
          <w:sz w:val="18"/>
          <w:szCs w:val="18"/>
          <w:color w:val="auto"/>
        </w:rPr>
        <w:t>We are focused on delivering the best value for our customers in Cloud, Client and Consumer end markets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relentless focus on appropriately scaling our operations across both Flash and HDD technologies to efficiently support business growth; achieving best in class cost, quality and cycle-time; maintaining industry leading manufacturing capabilities; and having a competitive advantage in supply-chain management.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strategy provides the following benefits, which distinguish us in the dynamic and competitive data storage industry:</w:t>
      </w:r>
    </w:p>
    <w:p>
      <w:pPr>
        <w:spacing w:after="0" w:line="252" w:lineRule="exact"/>
        <w:rPr>
          <w:sz w:val="20"/>
          <w:szCs w:val="20"/>
          <w:color w:val="auto"/>
        </w:rPr>
      </w:pPr>
    </w:p>
    <w:p>
      <w:pPr>
        <w:ind w:left="660" w:right="22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broad product portfolio that differentiates us as a leading developer and manufacturer of integrated products and solutions based on both Flash and HDD, making us a more strategic supply partner to our large-scale customers who have storage needs across the data infrastructure ecosystem;</w:t>
      </w:r>
    </w:p>
    <w:p>
      <w:pPr>
        <w:spacing w:after="0" w:line="210"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and flexible manufacturing capabilities, allowing us to leverage our Flash and HDD R&amp;D and capital expenditures to deliver innovative and cost-effective storage solutions to multiple markets;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deep relationships with industry leaders across the data ecosystems that give us the broadest routes to market;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leading consumer brand awareness and global retail distribution presence.</w:t>
      </w:r>
    </w:p>
    <w:p>
      <w:pPr>
        <w:spacing w:after="0" w:line="25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June 2022, we announced that we are reviewing potential strategic alternatives aimed at further optimizing long-term value for our stockholders. The Executive Committee of our Board, chaired by our CEO, is overseeing the assessment process, and the potential strategic alternatives include, among other things, options for separating our Flash and HDD business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 xml:space="preserve">We devote substantial resources to the development of new products and the improvement of existing products. We focus our engineering efforts on optimizing our product design and manufacturing processes to bring our products to market in a cost-effective and timely manner.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Information</w:t>
      </w:r>
    </w:p>
    <w:p>
      <w:pPr>
        <w:spacing w:after="0" w:line="25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rely on a combination of patents, trademarks, copyright and trade secret laws, confidentiality procedures and licensing arrangements to protect our IP rights.</w:t>
      </w:r>
    </w:p>
    <w:p>
      <w:pPr>
        <w:spacing w:after="0" w:line="19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approximately 13,000 active patents worldwide and have many patent applications in process. We continually seek additional United States (“U.S.”) and international patents on our technology. We believe that, although our active patents and patent applications have considerable value, the successful manufacturing and marketing of our products also depends upon the technical and managerial competence of our staff. Accordingly, the patents held and applied for cannot alone ensure our future success.</w:t>
      </w:r>
    </w:p>
    <w:p>
      <w:pPr>
        <w:spacing w:after="0" w:line="21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addition to patent protection of certain IP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spacing w:after="0" w:line="215" w:lineRule="exact"/>
        <w:rPr>
          <w:sz w:val="20"/>
          <w:szCs w:val="20"/>
          <w:color w:val="auto"/>
        </w:rPr>
      </w:pPr>
    </w:p>
    <w:p>
      <w:pPr>
        <w:ind w:firstLine="324"/>
        <w:spacing w:after="0" w:line="220" w:lineRule="exact"/>
        <w:rPr>
          <w:sz w:val="20"/>
          <w:szCs w:val="20"/>
          <w:color w:val="auto"/>
        </w:rPr>
      </w:pPr>
      <w:r>
        <w:rPr>
          <w:rFonts w:ascii="Arial" w:cs="Arial" w:eastAsia="Arial" w:hAnsi="Arial"/>
          <w:sz w:val="18"/>
          <w:szCs w:val="18"/>
          <w:color w:val="auto"/>
        </w:rPr>
        <w:t xml:space="preserve">We rely on certain technology that we license from other parties to manufacture and sell our products. We believe that we have adequate cross-licenses and other agreements in place in addition to our own IP portfolio to compete successfully in the storage industry.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believe that we have significant know-how, unique product manufacturing processes, test and tooling, execution skills, human resources and training to continue to be successful and to adjust our manufacturing operations as necessary. We strive to maintain manufacturing flexibility, high manufacturing yields, reliable products and high-quality components. The critical elements of our production of Flash and HDD are high 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w:t>
      </w:r>
    </w:p>
    <w:p>
      <w:pPr>
        <w:spacing w:after="0" w:line="20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Flash and HDD manufacturing are complex processes involving the production and assembly of precision components with narrow tolerances and rigorous testing. The manufacturing processes involve a number of steps that are dependent on each other and occur in “clean room” environments that demand skill in process engineering and efficient space utilization to control the operating costs of these manufacturing environments. We continually evaluate our manufacturing processes in an effort to increase productivity, sustain and improve quality and decrease manufacturing costs. For example, we have taken aggressive actions to restructure our client HDD manufacturing footprint in light of ongoing trends in the HDD Client market as PCs shift from using HDD to Flash technology. We continually evaluate which steps in the manufacturing process would benefit from automation and how automated manufacturing processes can improve productivity and reduce manufacturing costs. We also leverage contract manufacturers when strategically advantageous.</w:t>
      </w:r>
    </w:p>
    <w:p>
      <w:pPr>
        <w:spacing w:after="0" w:line="219"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Our vertically integrated, in-house assembly and test operations for our HDD products are concentrated in Prachinburi and Bang Pa-In, Thailand; Penang, Johor Bahru, and Kuching, Malaysia; Laguna, Philippines; Shenzhen, China; San Jose and Fremont, CA, USA.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Ventures with Kioxia</w:t>
      </w:r>
    </w:p>
    <w:p>
      <w:pPr>
        <w:spacing w:after="0" w:line="256" w:lineRule="exact"/>
        <w:rPr>
          <w:sz w:val="20"/>
          <w:szCs w:val="20"/>
          <w:color w:val="auto"/>
        </w:rPr>
      </w:pPr>
    </w:p>
    <w:p>
      <w:pPr>
        <w:ind w:right="340" w:firstLine="324"/>
        <w:spacing w:after="0" w:line="293" w:lineRule="auto"/>
        <w:rPr>
          <w:sz w:val="20"/>
          <w:szCs w:val="20"/>
          <w:color w:val="auto"/>
        </w:rPr>
      </w:pPr>
      <w:r>
        <w:rPr>
          <w:rFonts w:ascii="Arial" w:cs="Arial" w:eastAsia="Arial" w:hAnsi="Arial"/>
          <w:sz w:val="16"/>
          <w:szCs w:val="16"/>
          <w:color w:val="auto"/>
        </w:rPr>
        <w:t>Substantially all of our flash-based supply requirements for Flash is obtained from our ventures with Kioxia, which provide us with leading-edge, high-quality and low-cost flash memory wafers. While substantially all of our flash memory supply utilized for our products is purchased from these ventures, from time to time, we also purchase flash memory from other flash manufacturers. While we do not unilaterally control the operations of our ventures with Kioxia, we believe that our business venture relationship with Kioxia helps us reduce product costs, increases our ability to control the quality of our products and speeds delivery of our products to our customers. Our business ventures with Kioxia are located primarily in Yokkaichi and Kitakami, Japan, and our in-house assembly and test operations are located in Shanghai, China and Penang, Malaysia.</w:t>
      </w:r>
    </w:p>
    <w:p>
      <w:pPr>
        <w:spacing w:after="0" w:line="19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and Kioxia currently operate three business ventures in 300-millimeter flash-based manufacturing facilities in Japan, which provide us leading-edge, cost-competitive flash-based memory wafers for our end products. Through Flash Partners Ltd., Flash Alliance Ltd., and Flash Forward Ltd., which we collectively refer to as Flash Ventures, we and Kioxia collaborate in the development and manufacture of flash-based memory wafers using semiconductor manufacturing equipment owned or leased by each of the Flash Venture entities. We hold a 49.9% ownership position in each of the Flash Venture entities. Each Flash Venture entity purchases wafers from Kioxia at cost and then resells those wafers to us and Kioxia at cost plus a small markup. We are obligated to take our share of the output from these ventures or pay for variable costs incurred in producing our share of Flash Ventures’ flash-based memory wafer supply, based on our three-month forecast, which generally equals 50% of Flash Ventures’ output. In addition, we are obligated to pay for half of Flash Ventures’ fixed costs regardless of the output we choose to purchase. We are also obligated to fund 49.9% to 50.0% of each Flash Ventures entity’s capital investments to the extent that the Flash Ventures entity’s operating cash flow is insufficient to fund these investments. We co-develop flash technologies (including process technology and memory design) with Kioxia and contribute IP for Flash Ventures’ use.</w:t>
      </w:r>
    </w:p>
    <w:p>
      <w:pPr>
        <w:spacing w:after="0" w:line="19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agreements governing the operations of the Flash Venture entities also set out a framework for any investment by the joint venture partners in flash manufacturing capacity. Since its inception, Flash Ventures’ primary manufacturing site has been located in Yokkaichi, Japan. The Yokkaichi site, which is owned and operated by Kioxia, currently includes six wafer fabrication facilities. We have jointly invested, and intend to continue to jointly invest, with Kioxia in manufacturing equipment for the Yokkaichi fabrication facilities. We also have agreements that extend Flash Ventures to a wafer fabrication facility located in Kitakami, Japan, referred to as “K1”, which is operated by Kioxia Iwate Corporation, a wholly-owned subsidiary of Kioxia. In January 2022, we entered into agreements regarding Flash Ventures’ investment in a new wafer fabrication facility in Yokkaichi, Japan, referred to as “Y7”, which is the sixth wafer fabrication facility at the Yokkaichi site. The primary purpose of Y7 is to provide clean room space to continue the transition of existing flash-based wafer capacity to newer flash technology nodes. The first phase of construction of Y7 is now complete and has commenced output.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 discussion of risks associated with our business ventures with Kioxia, see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this Annual Report on Form 10-K.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Supplies</w:t>
      </w:r>
    </w:p>
    <w:p>
      <w:pPr>
        <w:spacing w:after="0" w:line="25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Flash consists of flash-based memory, controllers and firmware and other components. Substantially all of our flash-based memory is supplied by our business ventures with Kioxia. Controllers are primarily designed in-house and manufactured by third-party foundries or acquired from third-party suppliers. We believe the use of our in-house assembly and test facilities, as well as contract manufacturers, provides flexibility and gives us access to increased production capacity. We have developed deep relationships with these vendors and Kioxia to establish a continuous supply of flash-based memory and controllers.</w:t>
      </w:r>
    </w:p>
    <w:p>
      <w:pPr>
        <w:spacing w:after="0" w:line="21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HDD consists primarily of recording heads, magnetic media, controllers and firmware, and a printed circuit board assembly. We design and manufacture substantially all of the recording heads and magnetic media required for our products. As a result, we are more dependent upon our own development and execution efforts for these components and less reliant on recording head and magnetic media technologies developed by other manufacturers. We depend on an external supply base for all remaining components and materials for use in our HDD product design, manufacturing, and testing. We believe the use of our in-house manufacturing, assembly and test facilities provides the controls necessary to provide the demanding capabilities, performance and reliability our customers require.</w:t>
      </w:r>
    </w:p>
    <w:p>
      <w:pPr>
        <w:spacing w:after="0" w:line="219"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 xml:space="preserve">We generally retain multiple suppliers for our component requirements, but for business or technology reasons, we source some of our components from a limited number of sole or single source providers.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43"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 xml:space="preserve">We sell our products to computer manufacturers and OEMs, cloud service providers, resellers, distributors and retailers throughout the world. 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69%, 71% and 78% of our net revenue for 2023, 2022 and 2021, respectively. Sales to international customers are subject to certain risks not normally encountered in domestic operations, including exposure to tariffs and various trade regulations. For a discussion of such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3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perform our marketing and advertising functions both internally and through outside firms utilizing both consumer media and trade publications targeting various reseller and end-user markets.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each of 2023, 2022 and 2021, no single customer accounted for 10% or more of our net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We have historically experienced seasonal fluctuations in our business with higher levels of demand in the first and second quarters as a result of increased customer spending. Seasonality can also be impacted by cyclicality in the industry and macroeconomic conditions.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5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generally warrant our newly manufactured products against defects in materials and workmanship from one to five years from the date of sale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i w:val="1"/>
          <w:iCs w:val="1"/>
          <w:color w:val="auto"/>
        </w:rPr>
        <w:t xml:space="preserve">Organization and Basis of Presentation, </w:t>
      </w:r>
      <w:r>
        <w:rPr>
          <w:rFonts w:ascii="Arial" w:cs="Arial" w:eastAsia="Arial" w:hAnsi="Arial"/>
          <w:sz w:val="18"/>
          <w:szCs w:val="18"/>
          <w:color w:val="auto"/>
        </w:rPr>
        <w:t>and Note 5,</w:t>
      </w:r>
      <w:r>
        <w:rPr>
          <w:rFonts w:ascii="Arial" w:cs="Arial" w:eastAsia="Arial" w:hAnsi="Arial"/>
          <w:sz w:val="18"/>
          <w:szCs w:val="18"/>
          <w:i w:val="1"/>
          <w:iCs w:val="1"/>
          <w:color w:val="auto"/>
        </w:rPr>
        <w:t xml:space="preserve"> Supplemental Financial Statement Data, </w:t>
      </w:r>
      <w:r>
        <w:rPr>
          <w:rFonts w:ascii="Arial" w:cs="Arial" w:eastAsia="Arial" w:hAnsi="Arial"/>
          <w:sz w:val="18"/>
          <w:szCs w:val="18"/>
          <w:color w:val="auto"/>
        </w:rPr>
        <w:t>of the Notes to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43"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In order to support our company’s strategy, a continued emphasis on talent is required. Despite the current industry headwinds, we continue to focus on attracting, developing, engaging and retaining the best talent for our company. At the end of 2023, we employed approximately 53,000 people worldwide. Our diverse team spans 38 countries with approximately 85% of our employees in Asia Pacific, 13% in the Americas and 2% in Europe, the Middle East and Africa.</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Diversity, Equity and Inclusion</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7"/>
          <w:szCs w:val="17"/>
          <w:color w:val="auto"/>
        </w:rPr>
        <w:t>We are committed to diversity and promoting an inclusive environment where every individual can thrive through a sense of belonging, respect and contribution. We support inclusive hiring, training and development opportunities and ensuring equitable pay for employees, and we continue to focus on increasing diverse representation at every level of our company. As of June 30, 2023, women represented 26% of our management positions and 23% of our technical staff. Additionally, members of Asian, Black/African American, Hispanic/Latino or other racially or ethnically diverse communities, represented 62% of our U.S. management positions, which is a 1.4 percentage point increase compared to 2022.</w:t>
      </w:r>
    </w:p>
    <w:p>
      <w:pPr>
        <w:spacing w:after="0" w:line="201" w:lineRule="exact"/>
        <w:rPr>
          <w:sz w:val="20"/>
          <w:szCs w:val="20"/>
          <w:color w:val="auto"/>
        </w:rPr>
      </w:pPr>
    </w:p>
    <w:p>
      <w:pPr>
        <w:ind w:right="260" w:firstLine="324"/>
        <w:spacing w:after="0" w:line="279" w:lineRule="auto"/>
        <w:rPr>
          <w:sz w:val="20"/>
          <w:szCs w:val="20"/>
          <w:color w:val="auto"/>
        </w:rPr>
      </w:pPr>
      <w:r>
        <w:rPr>
          <w:rFonts w:ascii="Arial" w:cs="Arial" w:eastAsia="Arial" w:hAnsi="Arial"/>
          <w:sz w:val="16"/>
          <w:szCs w:val="16"/>
          <w:color w:val="auto"/>
        </w:rPr>
        <w:t>We have a number of initiatives that focus on increasing our diverse representation, including our new college graduate recruitment and hiring programs as well as veteran hiring and training programs. Our Employee Resource Groups (“ERGs”) help create an inclusive culture that embraces the uniqueness of our employees. We have several ERG communities, focusing on women, LGBTQ+, racial and ethnic minorities, military and people with disabilities. For additional detail about our workforce, we encourage you to review our Sustainability Report, which we publish annually and make available on our corporate website. Nothing on our website shall be deemed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In 2023, we continued the self-identification initiative launched in the previous year by inviting new hires to share more about who they are across dimensions of gender, gender identity, veterans and disabilities. Participation was optional, data was protected and the results were anonymized. We believe an in-depth understanding of our employee population will enable us to better engage and retain our talent.</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Compensation and Benefits</w:t>
      </w:r>
    </w:p>
    <w:p>
      <w:pPr>
        <w:spacing w:after="0" w:line="239" w:lineRule="exact"/>
        <w:rPr>
          <w:sz w:val="20"/>
          <w:szCs w:val="20"/>
          <w:color w:val="auto"/>
        </w:rPr>
      </w:pPr>
    </w:p>
    <w:p>
      <w:pPr>
        <w:ind w:right="180" w:firstLine="324"/>
        <w:spacing w:after="0" w:line="248" w:lineRule="auto"/>
        <w:rPr>
          <w:sz w:val="20"/>
          <w:szCs w:val="20"/>
          <w:color w:val="auto"/>
        </w:rPr>
      </w:pPr>
      <w:r>
        <w:rPr>
          <w:rFonts w:ascii="Arial" w:cs="Arial" w:eastAsia="Arial" w:hAnsi="Arial"/>
          <w:sz w:val="18"/>
          <w:szCs w:val="18"/>
          <w:color w:val="auto"/>
        </w:rPr>
        <w:t>We believe in the importance of investing in our people, and we do that through a robust Total Rewards program. We benchmark our compensation and benefits programs annually using market data from reputable third-party consultants. We also conduct internal focus groups and employee surveys to inform programs and identify opportunities.</w:t>
      </w:r>
    </w:p>
    <w:p>
      <w:pPr>
        <w:spacing w:after="0" w:line="195" w:lineRule="exact"/>
        <w:rPr>
          <w:sz w:val="20"/>
          <w:szCs w:val="20"/>
          <w:color w:val="auto"/>
        </w:rPr>
      </w:pPr>
    </w:p>
    <w:p>
      <w:pPr>
        <w:ind w:right="20" w:firstLine="324"/>
        <w:spacing w:after="0" w:line="291" w:lineRule="auto"/>
        <w:rPr>
          <w:sz w:val="20"/>
          <w:szCs w:val="20"/>
          <w:color w:val="auto"/>
        </w:rPr>
      </w:pPr>
      <w:r>
        <w:rPr>
          <w:rFonts w:ascii="Arial" w:cs="Arial" w:eastAsia="Arial" w:hAnsi="Arial"/>
          <w:sz w:val="17"/>
          <w:szCs w:val="17"/>
          <w:color w:val="auto"/>
        </w:rPr>
        <w:t>We promote a pay-for-performance culture and offer employees competitive compensation consisting of base salary and both short-term and long-term incentives. We also offer a global recognition program to celebrate the contributions of employees who bring our core values to life.</w:t>
      </w:r>
    </w:p>
    <w:p>
      <w:pPr>
        <w:spacing w:after="0" w:line="174" w:lineRule="exact"/>
        <w:rPr>
          <w:sz w:val="20"/>
          <w:szCs w:val="20"/>
          <w:color w:val="auto"/>
        </w:rPr>
      </w:pPr>
    </w:p>
    <w:p>
      <w:pPr>
        <w:ind w:right="120" w:firstLine="324"/>
        <w:spacing w:after="0" w:line="241" w:lineRule="auto"/>
        <w:rPr>
          <w:sz w:val="20"/>
          <w:szCs w:val="20"/>
          <w:color w:val="auto"/>
        </w:rPr>
      </w:pPr>
      <w:r>
        <w:rPr>
          <w:rFonts w:ascii="Arial" w:cs="Arial" w:eastAsia="Arial" w:hAnsi="Arial"/>
          <w:sz w:val="18"/>
          <w:szCs w:val="18"/>
          <w:color w:val="auto"/>
        </w:rPr>
        <w:t>To ensure that our pay practices are fair and equitable, we conduct an annual pay equity assessment to promote equal pay for equal work for men and women. As part of this review, we analyze current pay which takes into consideration various, non-discriminatory factors, such as seniority, experience, skills, performance, location, track and hiring and promotion dates. We use the results to make pay adjustments as needed. In 2023, we expanded our assessment to cover 100% of our employee population globally. In the coming year, we plan to further our pay equity efforts by engaging in a living wage analysis.</w:t>
      </w:r>
    </w:p>
    <w:p>
      <w:pPr>
        <w:spacing w:after="0" w:line="216"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We also believe in creating an environment that allows our employees to prioritize their physical, mental and financial well-being. We provide competitive benefits, including health coverage, life and disability insurance, retirement, paid time off, an employee assistance program and an employee stock purchase plan. In 2023, we continued our multi-year journey to modernize and improve our benefits portfolio with the goal of offering more choice to meet the unique needs of our diverse employees.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Talent Attraction, Development and Engagement</w:t>
      </w:r>
    </w:p>
    <w:p>
      <w:pPr>
        <w:spacing w:after="0" w:line="239" w:lineRule="exact"/>
        <w:rPr>
          <w:sz w:val="20"/>
          <w:szCs w:val="20"/>
          <w:color w:val="auto"/>
        </w:rPr>
      </w:pPr>
    </w:p>
    <w:p>
      <w:pPr>
        <w:jc w:val="both"/>
        <w:ind w:right="140" w:firstLine="324"/>
        <w:spacing w:after="0"/>
        <w:rPr>
          <w:sz w:val="20"/>
          <w:szCs w:val="20"/>
          <w:color w:val="auto"/>
        </w:rPr>
      </w:pPr>
      <w:r>
        <w:rPr>
          <w:rFonts w:ascii="Arial" w:cs="Arial" w:eastAsia="Arial" w:hAnsi="Arial"/>
          <w:sz w:val="18"/>
          <w:szCs w:val="18"/>
          <w:color w:val="auto"/>
        </w:rPr>
        <w:t>Foundational to our people strategy is the attraction, development and engagement of our employees. We continued our skills-based screening to hire employees based on capabilities and potential as well as our anonymous hiring pilot to identify and remove any potential for bias from our hiring process for interns. Additionally, we revamped our event experience by focusing on career fairs and conferences.</w:t>
      </w:r>
    </w:p>
    <w:p>
      <w:pPr>
        <w:spacing w:after="0" w:line="216"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Fostering the next generation of talent continues to be a key priority, and in 2023 we increased our U.S. intern conversion rate by over 40 percentage points. We are also a corporate sponsor for the Quad Fellowship by Schmidt Futures, which aims to “empower exceptional engineering, mathematics, science, and technology graduate students to advance research and innovation with a lens of positive social impact.”</w:t>
      </w:r>
    </w:p>
    <w:p>
      <w:pPr>
        <w:spacing w:after="0" w:line="191" w:lineRule="exact"/>
        <w:rPr>
          <w:sz w:val="20"/>
          <w:szCs w:val="20"/>
          <w:color w:val="auto"/>
        </w:rPr>
      </w:pPr>
    </w:p>
    <w:p>
      <w:pPr>
        <w:ind w:right="60" w:firstLine="324"/>
        <w:spacing w:after="0" w:line="276" w:lineRule="auto"/>
        <w:rPr>
          <w:sz w:val="20"/>
          <w:szCs w:val="20"/>
          <w:color w:val="auto"/>
        </w:rPr>
      </w:pPr>
      <w:r>
        <w:rPr>
          <w:rFonts w:ascii="Arial" w:cs="Arial" w:eastAsia="Arial" w:hAnsi="Arial"/>
          <w:sz w:val="16"/>
          <w:szCs w:val="16"/>
          <w:color w:val="auto"/>
        </w:rPr>
        <w:t>Developing our talent is key to helping us reach our business goals and retaining our people. We foster an environment of continuous learning through on-demand tools to help employees chart their career journey and track their progress. To equip employees with the skills needed to build resilience and manage the economic uncertainty, we shifted our focus to address critical capabilities in real-time. Alongside our flagship program Leader Essentials, we introduced self-directed development modules to help employees at all levels cultivate skills such as how to navigate dynamic times, have a learning mindset, seek insights and communicate effectively. We were recognized by Fast Company as one of the 10 most innovative companies in manufacturing in calendar year 2023 for upskilling 42% of our workforce at our Penang, Malaysia facility while working towards our sustainability goals.</w:t>
      </w:r>
    </w:p>
    <w:p>
      <w:pPr>
        <w:spacing w:after="0" w:line="188" w:lineRule="exact"/>
        <w:rPr>
          <w:sz w:val="20"/>
          <w:szCs w:val="20"/>
          <w:color w:val="auto"/>
        </w:rPr>
      </w:pPr>
    </w:p>
    <w:p>
      <w:pPr>
        <w:ind w:right="200" w:firstLine="324"/>
        <w:spacing w:after="0" w:line="237" w:lineRule="auto"/>
        <w:rPr>
          <w:sz w:val="20"/>
          <w:szCs w:val="20"/>
          <w:color w:val="auto"/>
        </w:rPr>
      </w:pPr>
      <w:r>
        <w:rPr>
          <w:rFonts w:ascii="Arial" w:cs="Arial" w:eastAsia="Arial" w:hAnsi="Arial"/>
          <w:sz w:val="18"/>
          <w:szCs w:val="18"/>
          <w:color w:val="auto"/>
        </w:rPr>
        <w:t>Ongoing engagement is a keystone to our people strategy. We believe that listening is crucial to identifying opportunities to strengthen employee engagement as well as influencing our overall strategy. We also engage employees by taking actions to promote and ground them in our core values and beliefs as a company, so that we are conducting business in an ethical way. As a result of this focus, in 2023, we were named one of the World’s Most Ethical Companies by Ethisphere Institute for the fifth consecutive year. Our employees regularly engage in philanthropy to support the communities in which they work and live. In 2023, 32% of our employees participated in a company-sponsored volunteer event, which was bolstered by a 27-percentage point increase in participation among our factory worker population.</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 and Safety</w:t>
      </w:r>
    </w:p>
    <w:p>
      <w:pPr>
        <w:spacing w:after="0" w:line="239" w:lineRule="exact"/>
        <w:rPr>
          <w:sz w:val="20"/>
          <w:szCs w:val="20"/>
          <w:color w:val="auto"/>
        </w:rPr>
      </w:pPr>
    </w:p>
    <w:p>
      <w:pPr>
        <w:jc w:val="both"/>
        <w:ind w:right="80" w:firstLine="324"/>
        <w:spacing w:after="0" w:line="248" w:lineRule="auto"/>
        <w:rPr>
          <w:sz w:val="20"/>
          <w:szCs w:val="20"/>
          <w:color w:val="auto"/>
        </w:rPr>
      </w:pPr>
      <w:r>
        <w:rPr>
          <w:rFonts w:ascii="Arial" w:cs="Arial" w:eastAsia="Arial" w:hAnsi="Arial"/>
          <w:sz w:val="18"/>
          <w:szCs w:val="18"/>
          <w:color w:val="auto"/>
        </w:rPr>
        <w:t>We are committed to creating a safe work environment everywhere we operate. We provide extensive health and safety resources and training to all of our employees, especially for those who work in our manufacturing and operations. We use an integrated management system to manage health and safety standards at our manufacturing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 xml:space="preserve">Our worldwide business activities are subject to various laws, rules, and regulations of the United States as well as of foreign governments. Compliance with existing or future governmental regulations, including, but not limited to, those pertaining to global trade, the environment, consumer and data protection, employee health and safety, and taxes, could have a material impact on our capital expenditures, earnings, competitive position and overall business in subsequent periods.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a discussion of these potential impacts.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256"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believe responsible and sustainable business practices support our long-term success. As a company, we are deeply committed to protecting and supporting our people, our environment, and our communities. That commitment is reflected through sustainability-focused initiatives as well as day-to-day activities, including our adoption of sustainability-focused policies and procedures, our publicly-recognized focus on fostering an inclusive workplace, our constant drive toward more efficient use of materials and energy, our careful and active management of our supply chain, our community-focused volunteerism programs and philanthropic initiatives, and our impactful, globally-integrated ethics and compliance program.</w:t>
      </w:r>
    </w:p>
    <w:p>
      <w:pPr>
        <w:spacing w:after="0" w:line="188"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seek to protect the human rights and civil liberties of our employees through policies, procedures, and programs that avoid risks of compulsory and child labor, both within our company and throughout our supply chain.</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foster a workplace of dignity, respect, diversity, and inclusion through our recruiting and advancement practices, internal communications, and employee resource groups.</w:t>
      </w:r>
    </w:p>
    <w:p>
      <w:pPr>
        <w:spacing w:after="0" w:line="197"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educate our employees annually on relevant ethics and compliance topics, publish accessible guidance on ethical issues and related company resources in our Global Code of Conduct, and encourage reporting of ethical concerns through any of several global and local reporting channels.</w:t>
      </w:r>
    </w:p>
    <w:p>
      <w:pPr>
        <w:spacing w:after="0" w:line="150" w:lineRule="exact"/>
        <w:rPr>
          <w:rFonts w:ascii="Arial" w:cs="Arial" w:eastAsia="Arial" w:hAnsi="Arial"/>
          <w:sz w:val="16"/>
          <w:szCs w:val="16"/>
          <w:color w:val="auto"/>
        </w:rPr>
      </w:pPr>
    </w:p>
    <w:p>
      <w:pPr>
        <w:ind w:left="660" w:right="8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support local communities throughout the world, focusing on hunger relief, environmental quality, and STEM (science, technology, engineering, and math) education, especially for underrepresented and underprivileged youth.</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utilize a robust integrated management system, with associated policies and procedures, to evaluate and manage occupational health and safety risks, environmental compliance, and chemical and hazardous substance risks.</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work to minimize our impacts on the environment through emissions reduction targets and other initiatives and to evaluate and enhance our climate resiliency.</w:t>
      </w:r>
    </w:p>
    <w:p>
      <w:pPr>
        <w:spacing w:after="0" w:line="19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innovate to reduce the energy used by our products, the energy used to manufacture them, and the amount of new materials required to manufacture them.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We maintain an Internet website at </w:t>
      </w:r>
      <w:r>
        <w:rPr>
          <w:rFonts w:ascii="Arial" w:cs="Arial" w:eastAsia="Arial" w:hAnsi="Arial"/>
          <w:sz w:val="18"/>
          <w:szCs w:val="18"/>
          <w:i w:val="1"/>
          <w:iCs w:val="1"/>
          <w:color w:val="auto"/>
        </w:rPr>
        <w:t>www.westerndigital.com</w:t>
      </w:r>
      <w:r>
        <w:rPr>
          <w:rFonts w:ascii="Arial" w:cs="Arial" w:eastAsia="Arial" w:hAnsi="Arial"/>
          <w:sz w:val="18"/>
          <w:szCs w:val="18"/>
          <w:color w:val="auto"/>
        </w:rPr>
        <w:t xml:space="preserve">. The information on our website is not incorporated in this Annual Report on Form 10-K. Our Annual Report on Form 10-K, Quarterly Reports on Form 10-Q, Current Reports on Form 8-K and amendments to reports filed or furnished pursuant to Sections 13(a) and 15(d) of the Securities Exchange Act of 1934, as amended, are available on our website at </w:t>
      </w:r>
      <w:r>
        <w:rPr>
          <w:rFonts w:ascii="Arial" w:cs="Arial" w:eastAsia="Arial" w:hAnsi="Arial"/>
          <w:sz w:val="18"/>
          <w:szCs w:val="18"/>
          <w:i w:val="1"/>
          <w:iCs w:val="1"/>
          <w:color w:val="auto"/>
        </w:rPr>
        <w:t>www.westerndigital.com</w:t>
      </w:r>
      <w:r>
        <w:rPr>
          <w:rFonts w:ascii="Arial" w:cs="Arial" w:eastAsia="Arial" w:hAnsi="Arial"/>
          <w:sz w:val="18"/>
          <w:szCs w:val="18"/>
          <w:color w:val="auto"/>
        </w:rPr>
        <w:t xml:space="preserve">, free of charge, as soon as reasonably practicable after the electronic filing of these reports with, or furnishing of these reports to, the Securities and Exchange Commission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 including us.</w:t>
      </w:r>
    </w:p>
    <w:p>
      <w:pPr>
        <w:spacing w:after="0" w:line="21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Our business can be affected by a number of risks and uncertainties, any of which could cause material harm to our actual operating results and financial condition. The risks discussed below are not the only ones facing our business but represent risks that we believe are material to us. Additional risks not presently known to us or that we currently deem immaterial may also negatively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Adverse global or regional conditions could harm our business.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 large portion of our revenue is derived from our international operations, and many of our products and components are produced overseas. As a result, our business depends significantly on global and regional conditions. Adverse changes in global or regional economic conditions, including, but not limited to, volatility in the financial markets, tighter credit, recession, inflation, rising interest rates, slower growth in certain geographic regions, political uncertainty, geopolitical tensions or conflicts, other macroeconomic factors, changes to social conditions and regulations, could significantly harm demand for our products, increase credit and collectability risks, result in revenue reductions, reduce profitability as a result of underutilization of our assets, cause us to change our business practices, increase manufacturing and operating costs or result in impairment charges or other expenses.</w:t>
      </w:r>
    </w:p>
    <w:p>
      <w:pPr>
        <w:spacing w:after="0" w:line="19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Our revenue growth is significantly dependent on the growth of international markets, and we may face challenges in international sales markets. We are subject to risks associated with our global manufacturing operations and global sales efforts, as well as risks associated with our utilization of contract manufacturers, including:</w:t>
      </w:r>
    </w:p>
    <w:p>
      <w:pPr>
        <w:spacing w:after="0" w:line="21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governmental approvals and compliance with evolving foreign regulations;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5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policies and financial incentives by governments in China, the United States, and countries in Europe and Asia designed to reduce dependence on foreign semiconductor manufacturing capabilities;</w:t>
      </w:r>
    </w:p>
    <w:p>
      <w:pPr>
        <w:spacing w:after="0" w:line="19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restrictions, such as export controls, export bans, import restrictions, embargoes, sanctions, license and certification requirements (including semiconductor, encryption and other technology), tariffs and complex customs regulations;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risks, our business could be harmed.</w:t>
      </w:r>
    </w:p>
    <w:p>
      <w:pPr>
        <w:spacing w:after="0" w:line="252"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We are dependent on a limited number of qualified suppliers who provide critical services, materials or components, and a disruption in our supply chain could negatively affect our business.</w:t>
      </w:r>
    </w:p>
    <w:p>
      <w:pPr>
        <w:spacing w:after="0" w:line="19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depend on an external supply base for technologies, software (including firmware), preamps, controllers, dynamic random-access memory,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worldwide just-in-time hubs and distribution centers and to meet our freight needs. Many of the components and much of the equipment we acquire must be specifically designed for use in our products or for developing and manufacturing our products, and are only available from a limited number of suppliers, some of whom are our sole-source suppliers. We therefore depend on these suppliers to meet our business needs including dedicating adequate engineering resources to develop components that can be successfully integrated into our products.</w:t>
      </w:r>
    </w:p>
    <w:p>
      <w:pPr>
        <w:spacing w:after="0" w:line="19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suppliers have in the past been, and may in the future be, unable or unwilling to meet our requirements, including as a result of events outside of their control such as trade restrictions (including tariffs, quotas and embargoes), geopolitical conflicts, public health emergencies, or natural disasters.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high-volume industries for materials or components used in our products, disruptions in supplier relationships or shortages in other components and materials used in our customers’ products could result in increased costs to us or decreased demand for our products, which could negatively impact our business. Delays, shortages or cost increases experienced by our suppliers in developing or sourcing materials and components for use in our products or incompatibility or quality issues relating to our products, could also harm our business.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324"/>
        <w:spacing w:after="0" w:line="244" w:lineRule="auto"/>
        <w:rPr>
          <w:sz w:val="20"/>
          <w:szCs w:val="20"/>
          <w:color w:val="auto"/>
        </w:rPr>
      </w:pPr>
      <w:r>
        <w:rPr>
          <w:rFonts w:ascii="Arial" w:cs="Arial" w:eastAsia="Arial" w:hAnsi="Arial"/>
          <w:sz w:val="18"/>
          <w:szCs w:val="18"/>
          <w:color w:val="auto"/>
        </w:rPr>
        <w:t>We do not have long-term contracts with some of our existing suppliers, nor do we always have guaranteed manufacturing capacity with our suppliers, so we cannot guarantee that they will devote sufficient resources or capacity to manufacturing our products. Any significant problems that occur at our suppliers could lead to product shortages or quality assurance problems. When we do have contractual commitments with suppliers in an effort to stabilize the supply of our components, those commitments may require us to buy a substantial number of components or make significant cash advances to the supplier and may not result in a satisfactory supply of our components. We have cancelled or deferred and may continue to cancel or defer outstanding purchase commitments with certain suppliers due to changes in actual and forecasted demand, which has resulted, and may continue to result in fees, penalties and other associated charges. Such cancellations or deferments can also negatively impact our relationships with certain suppliers or lead to a decline in the financial performance of certain suppliers, each of which could result in even more limited availability of components needed for our products.</w:t>
      </w:r>
    </w:p>
    <w:p>
      <w:pPr>
        <w:spacing w:after="0" w:line="212"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In addition, our supply base has experienced industry consolidation. Our suppliers may be acquired by our competitors, decide to exit the industry, or redirect their investments and increase costs to us. In addition, some of our suppliers have experienced a decline in financial performance, including as a result of cancelled or deferred purchase commitments. Where we rely on a limited number of suppliers or a single supplier, the risk of supplier loss due to industry consolidation or a decline in financial performance is increased. Some of our suppliers may also be competitors in other areas of our business, which could lead to difficulties in price negotiations or meeting our supply requirements.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Public health crises, including the COVID-19 pandemic, have had, and could in the future have, a negative effect on our business.</w:t>
      </w:r>
    </w:p>
    <w:p>
      <w:pPr>
        <w:spacing w:after="0" w:line="26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COVID-19 pandemic has negatively impacted and future public health crises, including resurgences of COVID-19 may negatively impact our workforce and operations in the future, as well as those of our strategic partners, customers, suppliers and logistics providers. The impacts we experienced in connection with the COVID-19 pandemic included temporary closures of certain manufacturing facilities; under-absorbed overhead; increased logistics, component and other costs; decreased demand for our products; and manufacturing challenges. Future outbreaks of infectious disease or other public health crises may have similar impacts.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effects of public health crises are uncertain and difficult to predict, but may include:</w:t>
      </w:r>
    </w:p>
    <w:p>
      <w:pPr>
        <w:spacing w:after="0" w:line="252" w:lineRule="exact"/>
        <w:rPr>
          <w:sz w:val="20"/>
          <w:szCs w:val="20"/>
          <w:color w:val="auto"/>
        </w:rPr>
      </w:pPr>
    </w:p>
    <w:p>
      <w:pPr>
        <w:ind w:left="660" w:right="44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to our supply chain, our operations or those of our strategic partners, customers or suppliers caused by employees or others contracting infectious diseases, or by governmental orders to contain the spread of infectious disease, such as travel restrictions, quarantines, shelter in place orders, trade controls and business shutdowns;</w:t>
      </w:r>
    </w:p>
    <w:p>
      <w:pPr>
        <w:spacing w:after="0" w:line="210" w:lineRule="exact"/>
        <w:rPr>
          <w:rFonts w:ascii="Arial" w:cs="Arial" w:eastAsia="Arial" w:hAnsi="Arial"/>
          <w:sz w:val="18"/>
          <w:szCs w:val="18"/>
          <w:color w:val="auto"/>
        </w:rPr>
      </w:pPr>
    </w:p>
    <w:p>
      <w:pPr>
        <w:ind w:left="660" w:right="26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Deterioration of worldwide credit markets that may limit our ability or increase our cost to obtain external financing to fund our operations and capital expenditures and result in a higher rate of losses on our accounts receivables due to customer credit defaults;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Extreme volatility in financial markets, which may harm our ability to access the financial markets on acceptable terms;</w:t>
      </w:r>
    </w:p>
    <w:p>
      <w:pPr>
        <w:spacing w:after="0" w:line="252"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data security and technology risk as some employees work from home, including possible outages to systems and technologies critical to remote work and increased data privacy risk with cybercriminals attempting to take advantage of the disruption; and</w:t>
      </w:r>
    </w:p>
    <w:p>
      <w:pPr>
        <w:spacing w:after="0" w:line="173"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productivity or other disruptions of our operations if workers in our factories or our other worksites are exposed to or spread infectious diseases to other employees.</w:t>
      </w:r>
    </w:p>
    <w:p>
      <w:pPr>
        <w:spacing w:after="0" w:line="1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degree to which any future public health crises, including resurgences of COVID-19, ultimately impact our business will depend on many factors beyond our control, which are highly uncertain and cannot be predicted at this time.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operations, and those of certain of our suppliers and customers, are subject to substantial risk of damage or disruption.</w:t>
      </w:r>
    </w:p>
    <w:p>
      <w:pPr>
        <w:spacing w:after="0" w:line="25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conduct our operations at large, high-volume, purpose-built facilities in California and throughout Asia. The facilities of many of our customers, our suppliers and our customers’ suppliers are also concentrated in certain geographic locations throughout Asia and elsewhere. If a fire (including a climate change-related fire), flood, earthquake, tsunami or other natural disaster, condition or event such as a power outage, contamination event, terrorist attack, cybersecurity incident, physical security breach, political instability, civil unrest, localized labor unrest or other employment issues, or a health epidemic</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negatively affects any of these facilities, it would significantly affect our ability to manufacture or sell our products and source components and would harm our business. Possible impacts include work and equipment stoppages and damage to or closure of our facilities, or those of our suppliers or customers, for an indefinite period of time. Climate change has in the past and is expected to continue to increase the incidence and severity of certain natural disasters, including wildfires and adverse weather events. In addition, the geographic concentration of our manufacturing sites could exacerbate the negative impacts resulting from any of these problems.</w:t>
      </w:r>
    </w:p>
    <w:p>
      <w:pPr>
        <w:spacing w:after="0" w:line="21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damage to our facilities, as these types of insurance are sometimes not available or available only at a prohibitive cost. Climate change may reduce the availability or increase the cost of certain types of insurance by contributing to an increase in the incidence and severity of certain natural disasters. We depend upon Kioxia to obtain and maintain sufficient property, business interruption and other insurance for Flash Ventures. If Kioxia fails to do so, we could suffer significant unreimbursable losses, and such failure could also cause Flash Ventures to breach various financing covenants.</w:t>
      </w:r>
    </w:p>
    <w:p>
      <w:pPr>
        <w:spacing w:after="0" w:line="219"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management, staff and skilled employees; the inability to hire and develop new employees; or decisions to realign our business could negatively impact our business prospects.</w:t>
      </w:r>
    </w:p>
    <w:p>
      <w:pPr>
        <w:spacing w:after="0" w:line="19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success depends upon the continued contributions of our talent. Changes in our key management team can result in loss of continuity, loss of accumulated knowledge, departure of other key employees, disruptions to our operations and inefficiency during transitional periods. Global competition for skilled employees in the technology industry is intense, and our business success is increasingly dependent on our ability to attract, develop and retain top talent; implement succession plans for key management and staff and replace aging skilled employees. Additionally, uncertainty about business realignment actions or the structure and organization of our business as a result of our ongoing strategic review could negatively impact our ability to recruit and retain key staff and skilled employees. Changes in immigration policies may also impair our ability to recruit and hire technical and professional talent.</w:t>
      </w:r>
    </w:p>
    <w:p>
      <w:pPr>
        <w:spacing w:after="0" w:line="222"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Our ability to hire and retain employees also depends on our ability to build and maintain a diverse and inclusive workplace culture and to fund competitive compensation and benefits, each of which contribute to being viewed as an employer of choice. Additionally, because a substantial portion of our key employees’ compensation is linked to the performance of our business, we may be at a competitive disadvantage for hiring and retaining talent when our operating results are negatively impacted. If we are unable to hire and retain key talent, our operating results would likely be harmed.</w:t>
      </w:r>
    </w:p>
    <w:p>
      <w:pPr>
        <w:spacing w:after="0" w:line="184"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b w:val="1"/>
          <w:bCs w:val="1"/>
          <w:i w:val="1"/>
          <w:iCs w:val="1"/>
          <w:color w:val="auto"/>
        </w:rPr>
        <w:t>The compromise, damage or interruption of our technology infrastructure, systems or products by cyber incidents, data security breaches, other security problems, design defects or system failures could have a material negative impact on our business.</w:t>
      </w:r>
    </w:p>
    <w:p>
      <w:pPr>
        <w:spacing w:after="0" w:line="173"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experience cyber incidents of varying degrees on our technology infrastructure and systems and, as a result, unauthorized parties have obtained in the past, and may obtain in the future, access to our computer systems and networks, including cloud-based platforms. For example, an unauthorized third party gained access to a number of our systems in March 2023, which caused disruption to parts of our business operations and resulted in various investigation, recovery, and remediation expenses. In addition, the technology infrastructure and systems of some of our suppliers, vendors, service providers, cloud solution providers and partners have in the past experienced, and may in the future experience, such incidents. Cyber incidents can be caused by ransomware, computer denial-of-service attacks, worms, and other malicious software programs or other attacks, including the covert introduction of malware to computers and networks, and the use of techniques or processes that change frequently, may be disguised or difficult to detect, or are designed to remain dormant until a triggering event, and may continue undetected for an extended period of time. Cyber incidents have in the past resulted from, and may in the future result from, social engineering or impersonation of authorized users, and may also result from efforts to discover and exploit any design flaws, bugs, security vulnerabilities or security weaknesses, intentional or unintentional acts by employees or other insiders with access privileges, intentional acts of vandalism or fraud by third parties and sabotage. In some instances, efforts to correct vulnerabilities or prevent incidents have in the past and may in the future reduce the functionality or performance of our computer systems and networks, which could negatively impact our business. We believe malicious cyber acts are increasing in number and that cyber threat actors are increasingly organized and well-financed or supported by state actors, and are developing increasingly sophisticated systems and means to not only infiltrate systems, but also to evade detection or to obscure their activities. Geopolitical tensions or conflicts may create heightened risk of cyber incidents.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products are also targets for malicious cyber acts, including those products utilized in cloud-based environments as well as our cloud service offerings. Our cloud services have in the past and may in the future be taken offline as a result of or in order to prevent or mitigate cyber incidents.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Further, our products contain sophisticated hardware and operating system software and applications that may contain security problems, security vulnerabilities, or defects in design or manufacturing, including “bugs” and other problems that could interfere with the intended operation of our products. To the extent our products include design defects, suffer system failure or are hacked, or if the encryption schemes are compromised or breached, this could harm our business by requiring us to employ additional resources to fix the errors or defects, exposing us to litigation and indemnification claims and hurting our reputation.</w:t>
      </w:r>
    </w:p>
    <w:p>
      <w:pPr>
        <w:spacing w:after="0" w:line="20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For example, as a result of a network security incident in March 2023, an unauthorized party obtained a copy of a Western Digital database used for our online store that contained some personal information of our online store customers. Compromises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and subject us to liability. As a result of actual or perceived breaches, we have in the past experienced and may in the future experience additional costs, notification requirements, civil and administrative fines and penalties, indemnification claims, litigation, or damage to our brand and reputation. All of these consequences could harm our reputation and our business and materially and negatively impact our operating results and financial condition.</w:t>
      </w:r>
    </w:p>
    <w:p>
      <w:pPr>
        <w:spacing w:after="0" w:line="208" w:lineRule="exact"/>
        <w:rPr>
          <w:sz w:val="20"/>
          <w:szCs w:val="20"/>
          <w:color w:val="auto"/>
        </w:rPr>
      </w:pPr>
    </w:p>
    <w:p>
      <w:pPr>
        <w:ind w:right="140" w:firstLine="162"/>
        <w:spacing w:after="0" w:line="308" w:lineRule="auto"/>
        <w:rPr>
          <w:sz w:val="20"/>
          <w:szCs w:val="20"/>
          <w:color w:val="auto"/>
        </w:rPr>
      </w:pPr>
      <w:r>
        <w:rPr>
          <w:rFonts w:ascii="Arial" w:cs="Arial" w:eastAsia="Arial" w:hAnsi="Arial"/>
          <w:sz w:val="17"/>
          <w:szCs w:val="17"/>
          <w:b w:val="1"/>
          <w:bCs w:val="1"/>
          <w:i w:val="1"/>
          <w:iCs w:val="1"/>
          <w:color w:val="auto"/>
        </w:rPr>
        <w:t>We are subject to risks related to product defects, which could result in product recalls or epidemic failures and could subject us to warranty claims in excess of our warranty provisions or which are greater than anticipated, litigation or indemnification claims.</w:t>
      </w:r>
    </w:p>
    <w:p>
      <w:pPr>
        <w:spacing w:after="0" w:line="17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 (“ODM”) customers. Our business liability insurance may be inadequate or future coverage may be unavailable on acceptable terms, which could negatively impact our operating results and financial condition.</w:t>
      </w:r>
    </w:p>
    <w:p>
      <w:pPr>
        <w:spacing w:after="0" w:line="20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provisions do not reflect the actual cost of resolving issues related to defects in our products, whether as a result of a product recall, epidemic failure or otherwise. If these additional expenses are significant, they could harm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STRATEGIC RISKS</w:t>
      </w:r>
    </w:p>
    <w:p>
      <w:pPr>
        <w:spacing w:after="0" w:line="256" w:lineRule="exact"/>
        <w:rPr>
          <w:sz w:val="20"/>
          <w:szCs w:val="20"/>
          <w:color w:val="auto"/>
        </w:rPr>
      </w:pPr>
    </w:p>
    <w:p>
      <w:pPr>
        <w:ind w:right="520" w:firstLine="162"/>
        <w:spacing w:after="0" w:line="342" w:lineRule="auto"/>
        <w:rPr>
          <w:sz w:val="20"/>
          <w:szCs w:val="20"/>
          <w:color w:val="auto"/>
        </w:rPr>
      </w:pPr>
      <w:r>
        <w:rPr>
          <w:rFonts w:ascii="Arial" w:cs="Arial" w:eastAsia="Arial" w:hAnsi="Arial"/>
          <w:sz w:val="16"/>
          <w:szCs w:val="16"/>
          <w:b w:val="1"/>
          <w:bCs w:val="1"/>
          <w:i w:val="1"/>
          <w:iCs w:val="1"/>
          <w:color w:val="auto"/>
        </w:rPr>
        <w:t>Our review of potential strategic alternatives may not result in an executed or consummated transaction or other strategic alternative, and the process of reviewing strategic alternatives or its conclusion could adversely affect our business and our stockholders.</w:t>
      </w:r>
    </w:p>
    <w:p>
      <w:pPr>
        <w:spacing w:after="0" w:line="151"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In June 2022, we announced that we are reviewing potential strategic alternatives aimed at further optimizing long-term value for our stockholders. The potential strategic alternatives include, among other things, the option to separate our Flash and HDD business units. We are actively working with financial advisors and the Company’s legal counsel in this strategic review process.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Any potential transaction or other strategic alternative would be dependent on a number of factors that may be beyond our control, including, among other things, market conditions, industry trends, regulatory approvals, and the availability of financing for a potential transaction on reasonable terms. The process of reviewing potential strategic alternatives is time consuming and may be distracting and disruptive to our business operations and long-term planning, which may cause concern to our current or potential customers, employees, investors, strategic partners and other constituencies and may have a material impact on our business and operating results or result in increased volatility in our share price. We have and will continue to incur substantial expenses associated with identifying, evaluating and negotiating potential strategic alternatives. There can be no assurance that any potential transaction or other strategic alternative, if consummated, will provide greater value to our stockholders than that reflected in the current price of our common stock. Until the review process is concluded, perceived uncertainties related to our future may result in the loss of potential business opportunities, volatility in the market price of our common stock and difficulty attracting and retaining qualified talent and business partners. Similarly, activist investors may engage in proxy solicitations or advance shareholder proposals, or otherwise attempt to affect changes and assert influence on our Board and management, which could lead to the impacts on our business, board, management and employees discussed above.</w:t>
      </w:r>
    </w:p>
    <w:p>
      <w:pPr>
        <w:spacing w:after="0" w:line="199"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b w:val="1"/>
          <w:bCs w:val="1"/>
          <w:i w:val="1"/>
          <w:iCs w:val="1"/>
          <w:color w:val="auto"/>
        </w:rPr>
        <w:t>We rely substantially on strategic relationships with various partners, including Kioxia, which subjects us to risks and uncertainties that could harm our business.</w:t>
      </w:r>
    </w:p>
    <w:p>
      <w:pPr>
        <w:spacing w:after="0" w:line="19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entered into and expect to continue to enter into strategic relationships with various partners for product development, manufacturing, sales growth and the supply of technologies, components, equipment and materials for use in our product design and manufacturing, including our business ventures with Kioxia. We depend on Flash Ventures for the development and manufacture of flash-based memory. Our strategic relationships, including Flash Ventures, are subject to various risks that could harm the value of our investments, our revenue and costs, our future rate of spending, our technology plans and our future growth opportunities.</w:t>
      </w:r>
    </w:p>
    <w:p>
      <w:pPr>
        <w:spacing w:after="0" w:line="21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Substantially all of our flash-based memory is supplied by Flash Ventures, which limits our ability to respond to market demand and supply changes and makes our financial results particularly susceptible to variations from our forecasts and expectations. A failure to accurately forecast supply and demand could cause us to over-invest or under-invest in technology transitions or the expansion of Flash Ventures’ capacity. Over-investment by us or our competitors could result in excess supply, which could cause significant decreases in our product prices, significant excess, obsolete inventory or inventory write-downs or underutilization charges, and the potential impairment of our investments in Flash Ventures. We are contractually obligated to pay for 50% of the fixed costs of Flash Ventures regardless of whether we order any flash-based memory, and our orders placed with Flash Ventures on a three-month rolling basis are binding. On the other hand, if we under-invest in Flash Ventures, or otherwise grow or transition Flash Ventures’ capacity too slowly, we may not have enough supply of flash-based memory, or the right type of flash-based memory, to meet demand on a timely and cost effective basis, and we may lose opportunities for revenue, gross margin and market share as a result. If our supply is limited, we might make strategic decisions with respect to the allocation of our supply among our products and customers, which could result in less favorable gross margins or damage customer relationships.</w:t>
      </w:r>
    </w:p>
    <w:p>
      <w:pPr>
        <w:spacing w:after="0" w:line="19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control over the operations of our business ventures may be limited, and our interests could diverge from our strategic partners’ interests regarding ongoing and future activities. For example, under the Flash Ventures agreements, we cannot unilaterally direct most of Flash Ventures’ activities, and we have limited ability to source or fabricate flash outside of Flash Ventures. Flash Ventures requires significant investments by both Kioxia and us for technology transitions and capacity expansions, and our business could be harmed if our technology roadmap and investment plans are not sufficiently aligned with Kioxia’s. Lack of alignment with Kioxia with respect to Flash Ventures could negatively impact our ability to react quickly to changes in the market, or to stay at the forefront of technological advancement. Misalignment could arise due to changes in Kioxia’s strategic priorities, management, ownership or access to capital, which have changed in recent years and could continue to change. Kioxia’s stakeholders may include, or have included in the past, competitors, customers, a private equity firm, government entities or public stockholders. Kioxia’s management changes, ownership and capital structure could lead to delays in decision-making, disputes or changes in strategic direction that could negatively impact the strategic partnership, and therefore us. There may exist conflicts of interest between Kioxia’s stakeholders and Flash Ventures or us with respect to, among other things, protecting and growing Flash Ventures’ business, IP and competitively sensitive confidential information.</w:t>
      </w:r>
    </w:p>
    <w:p>
      <w:pPr>
        <w:spacing w:after="0" w:line="199"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Together with Kioxia, we fund a portion of the investments required for Flash Ventures through lease financings. Continued availability of lease financings for Flash Ventures is not guaranteed and could be limited by several factors, including investor capacity and risk allocation policies, our or Kioxia’s financial performance and changes to our or Kioxia’s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business, ownership or corporate structure. To the extent that lease financings are not accessible on favorable terms or at all, more cash would be required to fund investments.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strategic relationships are subject to additional risks that could harm our business, including, but not limited to, the following:</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by our strategic partners to comply with applicable laws or employ effective internal controls;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difficulties and delays in product and technology development at, ramping production at, and transferring technology to, our strategic partners;</w:t>
      </w:r>
    </w:p>
    <w:p>
      <w:pPr>
        <w:spacing w:after="0" w:line="275" w:lineRule="exact"/>
        <w:rPr>
          <w:rFonts w:ascii="Arial" w:cs="Arial" w:eastAsia="Arial" w:hAnsi="Arial"/>
          <w:sz w:val="16"/>
          <w:szCs w:val="16"/>
          <w:color w:val="auto"/>
        </w:rPr>
      </w:pPr>
    </w:p>
    <w:p>
      <w:pPr>
        <w:ind w:left="660" w:right="2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declining financial performance of our strategic partners, including failure by our strategic partners to timely fund capital investments with us or otherwise meet their commitments, including paying amounts owed to us or third parties when due;</w:t>
      </w:r>
    </w:p>
    <w:p>
      <w:pPr>
        <w:spacing w:after="0" w:line="197" w:lineRule="exact"/>
        <w:rPr>
          <w:rFonts w:ascii="Arial" w:cs="Arial" w:eastAsia="Arial" w:hAnsi="Arial"/>
          <w:sz w:val="18"/>
          <w:szCs w:val="18"/>
          <w:color w:val="auto"/>
        </w:rPr>
      </w:pPr>
    </w:p>
    <w:p>
      <w:pPr>
        <w:ind w:left="660" w:right="220" w:hanging="328"/>
        <w:spacing w:after="0" w:line="30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lose the rights to, or ability to independently manufacture, certain technology or products being developed or manufactured by strategic partners, including if any of them is acquired by another company, files for bankruptcy or experiences financial or other losses;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bankruptcy event involving a strategic partner could result in structural changes to or termination of the strategic partnership;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or regulatory requirements may necessitate changes to the agreements governing our strategic partnerships.</w:t>
      </w:r>
    </w:p>
    <w:p>
      <w:pPr>
        <w:spacing w:after="0" w:line="252" w:lineRule="exact"/>
        <w:rPr>
          <w:sz w:val="20"/>
          <w:szCs w:val="20"/>
          <w:color w:val="auto"/>
        </w:rPr>
      </w:pPr>
    </w:p>
    <w:p>
      <w:pPr>
        <w:ind w:right="460" w:firstLine="162"/>
        <w:spacing w:after="0" w:line="342" w:lineRule="auto"/>
        <w:rPr>
          <w:sz w:val="20"/>
          <w:szCs w:val="20"/>
          <w:color w:val="auto"/>
        </w:rPr>
      </w:pPr>
      <w:r>
        <w:rPr>
          <w:rFonts w:ascii="Arial" w:cs="Arial" w:eastAsia="Arial" w:hAnsi="Arial"/>
          <w:sz w:val="16"/>
          <w:szCs w:val="16"/>
          <w:b w:val="1"/>
          <w:bCs w:val="1"/>
          <w:i w:val="1"/>
          <w:iCs w:val="1"/>
          <w:color w:val="auto"/>
        </w:rPr>
        <w:t>We participate in a highly competitive industry that is subject to declining average selling prices (“ASPs”), volatile demand, rapid technological change and industry consolidation, as well as lengthy product qualifications, all of which can negatively impact our business.</w:t>
      </w:r>
    </w:p>
    <w:p>
      <w:pPr>
        <w:spacing w:after="0" w:line="15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Demand for our devices, software and solutions, which we refer to in this Item 1A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Demand for and prices of our products are influenced by, among other factors, actual and projected data growth, the balance between supply and demand in the storage market, including the effects of new fab capacity, macroeconomic factors, business conditions, technology transitions and other actions taken by us or our competitors. The storage market has recently experienced, and may continue to experience, periods of excess capacity leading to liquidation of excess inventories, inventory write-downs, significant reductions in ASPs and negative impacts on our revenue and gross margins, and volatile product life cycles that harm our ability to recover the cost of product development.</w:t>
      </w:r>
    </w:p>
    <w:p>
      <w:pPr>
        <w:spacing w:after="0" w:line="19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Further, our ASPs and gross margins tend to decline when there is a shift in the mix of product sales to lower priced products. We face potential gross margin pressures resulting from our ASPs declining more rapidly than our cost of revenue. Rapid technological changes often reduce the volume and profitability of sales of existing products and increase the risk of inventory obsolescence and write-downs. Finally, the data storage industry has experienced consolidation over the past several years, which could enhance the resources and lower the cost structure of some competitors. These factors could result in a substantial decrease in our market share and harm our business.</w:t>
      </w:r>
    </w:p>
    <w:p>
      <w:pPr>
        <w:spacing w:after="0" w:line="201"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As we compete in new product areas, the overall complexity of our business may increase and may result in increases in R&amp;D expenses and substantial investments in manufacturing capability, technology enhancements and go-to-market capability. We must also qualify our products with customers through potentially lengthy testing processes with uncertain results. Some of our competitors offer products that we do not offer, which may allow them to win sales from us, and some of our customers may be developing storage solutions internally, which may reduce their demand for our products. We expect that competition will continue to be intense, and our competitors may be able to gain a product offering or cost structure advantage over us, which would harm our business. Further, our competitors may utilize pricing strategies, including offering products at prices at or below cost, that we may be unable to competitively match. We may also have difficulty effectively competing with manufacturers benefiting from governmental investments and may be subject to increased complexity and reduced efficiency in our supply chain as a result of governmental efforts to promote domestic semiconductor industries in various jurisdictions.</w:t>
      </w:r>
    </w:p>
    <w:p>
      <w:pPr>
        <w:spacing w:after="0" w:line="234"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b w:val="1"/>
          <w:bCs w:val="1"/>
          <w:i w:val="1"/>
          <w:iCs w:val="1"/>
          <w:color w:val="auto"/>
        </w:rPr>
        <w:t>If we do not properly manage technology transitions and product development and introduction, our competitiveness and operating results may be negatively affected.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markets for our products continuously undergo technology transitions that can impact our product roadmaps and that we must anticipate in order to adapt our existing products or develop new products effectively. If we fail to adapt to or implement new technologies or develop new products desired by our customers quickly and cost-effectively, or if technology transitions negatively impact our existing product roadmaps, our business may be harmed.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success of our technology transitions and product development depends on a number of other factors, including:</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R&amp;D expenses and results;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52"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vertical integration of some of our products, which may result in more capital expenditures and greater fixed costs than if we were not vertically integrated;</w:t>
      </w:r>
    </w:p>
    <w:p>
      <w:pPr>
        <w:spacing w:after="0" w:line="19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cost effectively respond to customer requests for new products or features (including requests for more efficient and efficiently-produced products with reduced environmental impacts) and software associated with our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new products.</w:t>
      </w:r>
    </w:p>
    <w:p>
      <w:pPr>
        <w:spacing w:after="0" w:line="252"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Moving to new technologies and products may require us to align to, and build, a new supply base. Our success in new product areas may depend on our ability to enter into favorable supply agreements.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Additionally, new technologies could impact demand for our products in unforeseen or unexpected ways and new products could substitute for our current products and make them obsolete, each of which would harm our business. We also develop products to meet certain industry and technical standards, which may change and cause us to incur substantial costs as we adapt to new standards or invest in different manufacturing processes to remain competitive.</w:t>
      </w:r>
    </w:p>
    <w:p>
      <w:pPr>
        <w:spacing w:after="0" w:line="214"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b w:val="1"/>
          <w:bCs w:val="1"/>
          <w:i w:val="1"/>
          <w:iCs w:val="1"/>
          <w:color w:val="auto"/>
        </w:rPr>
        <w:t>We experience sales seasonality and cyclicality, which could cause our operating results to fluctuate. In addition, accurately forecasting demand has become more difficult, which could harm our business.</w:t>
      </w:r>
    </w:p>
    <w:p>
      <w:pPr>
        <w:spacing w:after="0" w:line="19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Sales of many of our products tend to be seasonal and subject to supply-demand cycles. Changes in seasonal and cyclical supply and demand patterns have made it, and could continue to make it, more difficult for us to forecast demand. Changes in the product or channel mix of our business can also impact seasonal and cyclical patterns. For example, we often ship a high percentage of our total quarterly sales in the third month of the quarter, which makes it difficult for us to forecast our financial results before the end of each quarter. As a result of the above or other factors, our forecast of financial results for a given quarter may differ materially from our actual financial results.</w:t>
      </w:r>
    </w:p>
    <w:p>
      <w:pPr>
        <w:spacing w:after="0" w:line="21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variety and volume of products we manufacture are based in part on accurately forecasting market and customer demand for our products. Accurately forecasting demand has become increasingly difficult for us, our customers and our suppliers due to volatility in global economic conditions, end market dynamics and industry consolidation, resulting in less availability of historical market data for certain product segments. Further, for many of our OEM customers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This has caused, and may in the future cause, our forecasts to exceed actual market demand, resulting in periods of product oversupply, excess inventory, asset underutilization and price decreases, which has impacted and could further impact our sales, ASPs and gross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margin, thereby negatively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potentially resulting in inventory write-downs, or loss of sales in the event our forecasts vary substantially from actual demand.</w:t>
      </w:r>
    </w:p>
    <w:p>
      <w:pPr>
        <w:spacing w:after="0" w:line="215"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b w:val="1"/>
          <w:bCs w:val="1"/>
          <w:i w:val="1"/>
          <w:iCs w:val="1"/>
          <w:color w:val="auto"/>
        </w:rPr>
        <w:t>Failure to successfully execute on strategic initiatives including acquisitions, divestitures or cost saving measures may negatively impact our future results.</w:t>
      </w:r>
    </w:p>
    <w:p>
      <w:pPr>
        <w:spacing w:after="0" w:line="19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have made and expect to continue to make acquisitions and divestitures, and engage in cost saving measures. Acquisitions of, investment opportunities in, or other significant transactions with companies that are complementary to our business are an important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and integration of processes and systems.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have been and may continue to be difficulties with implementing new systems and processes or with integrating systems and processes of companies with complex operations, which can result in inconsistencies in standards, controls, procedures and policies and may increase the risk that our internal controls are found to be ineffective.</w:t>
      </w:r>
    </w:p>
    <w:p>
      <w:pPr>
        <w:spacing w:after="0" w:line="19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(including goodwill impairments or other asset write-downs) and other expenses, both of which could negatively impact our results of operations or financial condition. Acquisitions and investments may also result in the issuance of equity securities that may be dilutive to our stockholders as well as earn-out or other contingent consideration payments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negatively affect our business.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20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Cost saving measures, restructurings and divestitures may result in workforce reduction and consolidation of our manufacturing or other facilities. As a result of these actions,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do not forego future business opportunities as a result of these actions.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revenue from a key customer, or consolidation among our customer base, could harm our operating results.</w:t>
      </w:r>
    </w:p>
    <w:p>
      <w:pPr>
        <w:spacing w:after="0" w:line="25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Historically, nearly one half of our total revenue came from sales to our top 10 customers. These customers have a variety of suppliers to choose from and therefore can make substantial demands on us, including demands on product pricing, contractual terms and the environmental impact and attributes of our products, often resulting in the allocation of risk or increased costs to us as the supplier. Our ability to maintain strong relationships with our principal customers is essential to our future performance. We have experienced and may in the future experience events such as the loss of a key customer, prohibition or restriction of sales to a key customer by law, regulation or other government action, reductions in sales to or orders by a key customer, customer requirements to reduce our prices before we are able to reduce costs or the acquisition of a key customer by one of our competitors. These events have impacted, and may in the future impact, our operating results and financial condition. Further, government authorities may implement laws or regulations or take other actions that could result in significant changes to the business or operating models of our customers. Such changes could negatively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Additionally, if there is consolidation among our customer base, our customers may be able to command increased leverage in negotiating prices and other terms of sale, which could negatively impact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21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Also, the storage ecosystem is constantly evolving, and our traditional customer base is changing. Fewer companies now hold greater market share for certain applications and services, such as cloud storage and computing platforms, mobile, social media, shopping and streaming media. As a result, the competitive landscape is changing, giving these companies increased leverage in negotiating prices and other terms of sale, which could negatively impact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204"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business could suffer.</w:t>
      </w:r>
    </w:p>
    <w:p>
      <w:pPr>
        <w:spacing w:after="0" w:line="19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As a result of the shift to mobile devices, more computing devices are being delivered to the market as complete systems, which could weaken the distribution market. If we fail to respond to changes in demand in the distribution market, our business could suffer. Additionally, if the distribution market weakens as a result of technology transitions or a significant change in consumer buying preference, or if we experience significant price declines due to demand changes in the distribution channel, our operating results would be negatively impacted.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21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negative publicity, whether or not justified, or allegations of product or service quality issues, even if false or unfounded, could damage our reputation and cause our customers to choose products offered by our competitors. Further, changes to the retail environment, such as store closures caused by macroeconomic conditions or changing customer preferences, may reduce the demand for our products. If customers no longer maintain a preference for our product brands or if our retailers are not successful in selling our products, our operating results may be negatively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56" w:lineRule="exact"/>
        <w:rPr>
          <w:sz w:val="20"/>
          <w:szCs w:val="20"/>
          <w:color w:val="auto"/>
        </w:rPr>
      </w:pPr>
    </w:p>
    <w:p>
      <w:pPr>
        <w:ind w:right="580" w:firstLine="162"/>
        <w:spacing w:after="0" w:line="277" w:lineRule="auto"/>
        <w:rPr>
          <w:sz w:val="20"/>
          <w:szCs w:val="20"/>
          <w:color w:val="auto"/>
        </w:rPr>
      </w:pPr>
      <w:r>
        <w:rPr>
          <w:rFonts w:ascii="Arial" w:cs="Arial" w:eastAsia="Arial" w:hAnsi="Arial"/>
          <w:sz w:val="18"/>
          <w:szCs w:val="18"/>
          <w:b w:val="1"/>
          <w:bCs w:val="1"/>
          <w:i w:val="1"/>
          <w:iCs w:val="1"/>
          <w:color w:val="auto"/>
        </w:rPr>
        <w:t>Our level of debt may negatively impact our liquidity, restrict our operations and ability to respond to business opportunities, and increase our vulnerability to adverse economic and industry conditions.</w:t>
      </w:r>
    </w:p>
    <w:p>
      <w:pPr>
        <w:spacing w:after="0" w:line="197"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We utilize debt financing in our capital structure and may incur additional debt, including under our revolving credit facility subject to customary conditions in our loan agreements. Our level of debt could have significant consequences, which include, but are not limited to, the following:</w:t>
      </w:r>
    </w:p>
    <w:p>
      <w:pPr>
        <w:spacing w:after="0" w:line="15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acquisitions or other general corporate purposes;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w:t>
      </w:r>
    </w:p>
    <w:p>
      <w:pPr>
        <w:spacing w:after="0" w:line="252" w:lineRule="exact"/>
        <w:rPr>
          <w:rFonts w:ascii="Arial" w:cs="Arial" w:eastAsia="Arial" w:hAnsi="Arial"/>
          <w:sz w:val="18"/>
          <w:szCs w:val="18"/>
          <w:color w:val="auto"/>
        </w:rPr>
      </w:pPr>
    </w:p>
    <w:p>
      <w:pPr>
        <w:ind w:left="660" w:right="60" w:hanging="328"/>
        <w:spacing w:after="0" w:line="279"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imposing financial and other restrictive covenants on our operations, including minimum liquidity and free cash flow requirements and limitations on our ability to (i) declare or pay dividends or repurchase shares of our common stock; (ii) purchase assets, make investments, complete acquisitions, consolidate or merge with or into, or sell all or substantially all of our assets to, another person; (iii) enter into sale/leaseback transactions or certain transactions with affiliates; (iv) incur additional indebtedness and (v) incur liens; and</w:t>
      </w:r>
    </w:p>
    <w:p>
      <w:pPr>
        <w:spacing w:after="0" w:line="198" w:lineRule="exact"/>
        <w:rPr>
          <w:rFonts w:ascii="Arial" w:cs="Arial" w:eastAsia="Arial" w:hAnsi="Arial"/>
          <w:sz w:val="17"/>
          <w:szCs w:val="17"/>
          <w:color w:val="auto"/>
        </w:rPr>
      </w:pPr>
    </w:p>
    <w:p>
      <w:pPr>
        <w:ind w:left="660" w:right="7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ability to meet our debt service obligations, comply with our debt covenants and deleverage depends on our cash flows and financial performance, which are affected by financial, business, economic and other factors. The rate at which we will be able to or choose to deleverage is uncertain.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If we do not have sufficient funds available to repay indebtedness when due, whether at maturity or by acceleration, we may be required to sell important strategic assets; refinance our existing debt; incur additional debt or issue common stock or other equity securities, which we may not be able to do on terms acceptable to us, in amounts sufficient to meet our needs or at all. Our inability to service our debt obligations or refinance our debt could harm our business. Further, if we are unable to repay, refinance or restructure our secured indebtedness, the holder of such debt could proceed against the collateral securing the indebtedness. Refinancing our indebtedness may also require us to expense previous debt issuance costs or to incur new debt issuance costs.</w:t>
      </w:r>
    </w:p>
    <w:p>
      <w:pPr>
        <w:spacing w:after="0" w:line="20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As our bank debt contains a variable interest rate component based on our corporate credit ratings, a decline in our ratings could result in increased interest rates and debt service obligations. In addition, our ratings impact the cost and availability of future borrowings and, accordingly, our cost of capital. Our ratings reflect the opinions of the ratings agencies as to our financial strength, operating performance and ability to meet our debt obligations. There can be no assurance that we will achieve a particular rating or maintain a particular rating in the future.</w:t>
      </w:r>
    </w:p>
    <w:p>
      <w:pPr>
        <w:spacing w:after="0" w:line="19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also guarantee a significant amount of lease obligations of Flash Ventures owed to third parties. Flash Ventures sells to and leases back a portion of its equipment from a consortium of financial institutions. Most of the lease obligations are guaranteed 50% by us and 50% by Kioxia. Some of the lease obligations are guaranteed in full by us. The leases are subject to customary covenants and cancellation events that relate to Flash Ventures and each of the guarantors. If a cancellation event were to occur, Flash Ventures would be required to negotiate a resolution with the other parties to the lease transactions to avoid cancellation and acceleration of the lease 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w:t>
      </w:r>
    </w:p>
    <w:p>
      <w:pPr>
        <w:spacing w:after="0" w:line="20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common stock or other securities that are convertible into common stock or grant the holder the right to purchase common stock, each of which may dilute our existing stockholders, reduce the value of our common stock, or both.</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matters may materially affect our financial position and results of operations.</w:t>
      </w:r>
    </w:p>
    <w:p>
      <w:pPr>
        <w:spacing w:after="0" w:line="25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Changes in tax laws in the United States, the European Union and around the globe have impacted and will continue to impact our effective worldwide tax rate, which may materially affect our financial position and results of operations. Further, the majority of countries in the G20 and Organization for Economic Cooperation and Development (OECD) Inclusive Framework on Base Erosion and Profit Shifting (BEPS) have agreed to adopt a two-pillar approach to taxation, which includes the implementation of a global corporate minimum tax rate of 15%, which when effective could materially increase our tax obligations in these countries. Due to the large scale of our U.S. and international business activities, many of these enacted and proposed changes to the taxation of our activities, including cash movements, could increase our worldwide effective tax rate and harm our business. Beginning in our fiscal year 2023, the Tax Cuts and Jobs Act of 2017 eliminated the option to deduct research and development expenditures in the year incurred, requiring amortization in accordance with IRC Section 174. Depending on our operating results, this requirement could materially increase our effective tax rate and reduce our operating cash flows. 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20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Our determination of our tax liability in the U.S. and other jurisdictions is subject to review by applicable domestic and foreign tax authorities. For example, as disclosed in Part I, Item 1, Note 14,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Consolidated Financial Statements included in this Annual Report on Form 10-K, we are under examination by the Internal Revenue Service for certain fiscal years. Although we believe our tax positions are properly supported, the final timing and resolution of any tax examinations are subject to significant uncertainty and could result in litigation or the payment of significant amounts to the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applicable tax authority in order to resolve examination of our tax positions, which could result in an increase of our current estimate of unrecognized tax benefits and may harm our business.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5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When such events occur, they have had, and may in the future have, a negative impact on our business.</w:t>
      </w:r>
    </w:p>
    <w:p>
      <w:pPr>
        <w:spacing w:after="0" w:line="208"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negatively impact demand and revenue growth. In addition, currency variations can adversely affect margins on sales of our products in countries outside the U.S.</w:t>
      </w:r>
    </w:p>
    <w:p>
      <w:pPr>
        <w:spacing w:after="0" w:line="18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attempt to manage the impact of foreign currency exchange rate changes by, among other things, entering into short-term foreign exchange contracts. However, these contracts may not cover our full exposure, and can be canceled by the counterparty if currency controls are put in place. Thus, our decisions and hedging strategy with respect to currency risks may not be successful and may actually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91"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9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the customers with the most success in these regions may have relatively short operating histories, making it more difficult for us to accurately assess the associated credit risks. Our customers’ credit risk may also be exacerbated by an economic downturn or other adverse global or regional economic conditions.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COMPLIANCE RISKS</w:t>
      </w:r>
    </w:p>
    <w:p>
      <w:pPr>
        <w:spacing w:after="0" w:line="256" w:lineRule="exact"/>
        <w:rPr>
          <w:sz w:val="20"/>
          <w:szCs w:val="20"/>
          <w:color w:val="auto"/>
        </w:rPr>
      </w:pPr>
    </w:p>
    <w:p>
      <w:pPr>
        <w:ind w:right="40" w:firstLine="162"/>
        <w:spacing w:after="0" w:line="263" w:lineRule="auto"/>
        <w:rPr>
          <w:sz w:val="20"/>
          <w:szCs w:val="20"/>
          <w:color w:val="auto"/>
        </w:rPr>
      </w:pPr>
      <w:r>
        <w:rPr>
          <w:rFonts w:ascii="Arial" w:cs="Arial" w:eastAsia="Arial" w:hAnsi="Arial"/>
          <w:sz w:val="18"/>
          <w:szCs w:val="18"/>
          <w:b w:val="1"/>
          <w:bCs w:val="1"/>
          <w:i w:val="1"/>
          <w:iCs w:val="1"/>
          <w:color w:val="auto"/>
        </w:rPr>
        <w:t>We are subject to laws, rules, and regulations relating to the collection, use, sharing, and security of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p>
    <w:p>
      <w:pPr>
        <w:spacing w:after="0" w:line="2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subject to laws, rules, and regulations relating to the collection, use, and security and privacy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employee data in conducting our business, subjects us to legal and regulatory burdens that require us to notify vendors, customers or employees or other parties with which we have commercial relations of a data security breach and to respond to regulatory inquiries and to enforcement proceedings. Laws and regulations relating to the collection, use, security and privacy of third-party data change over time and new laws and regulations become effective from time to time. We are subject to notice and privacy policy requirements, as well as obligations to respond to requests to know and access personal information, correct personal information, delete personal information and say no to the sale of personal information. Global privacy and data protection legislation, enforcement, and policy activity in this area are rapidly expanding and evolving, and may be inconsistent from jurisdiction to jurisdiction. We may also be subject to restrictions on cross-border data transfers and requirements for localized storage of data that could increase our compliance costs and risks and affect the ability of our global operations to coordinate activities and respond to customers.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95" w:lineRule="exact"/>
        <w:rPr>
          <w:sz w:val="20"/>
          <w:szCs w:val="20"/>
          <w:color w:val="auto"/>
        </w:rPr>
      </w:pPr>
    </w:p>
    <w:p>
      <w:pPr>
        <w:ind w:right="160" w:firstLine="162"/>
        <w:spacing w:after="0" w:line="279" w:lineRule="auto"/>
        <w:rPr>
          <w:sz w:val="20"/>
          <w:szCs w:val="20"/>
          <w:color w:val="auto"/>
        </w:rPr>
      </w:pPr>
      <w:r>
        <w:rPr>
          <w:rFonts w:ascii="Arial" w:cs="Arial" w:eastAsia="Arial" w:hAnsi="Arial"/>
          <w:sz w:val="17"/>
          <w:szCs w:val="17"/>
          <w:b w:val="1"/>
          <w:bCs w:val="1"/>
          <w:i w:val="1"/>
          <w:iCs w:val="1"/>
          <w:color w:val="auto"/>
        </w:rPr>
        <w:t>We are subject to state, federal and international legal and regulatory requirements, such as environmental, labor, health and safety, trade and public-company reporting and disclosure regulations, customers’ standards of corporate citizenship, and industry and coalition standards, such as those established by the Responsible Business Alliance (“RBA”), and compliance with those regulations and requirements could cause an increase in our operating costs and failure to comply may harm our business.</w:t>
      </w:r>
    </w:p>
    <w:p>
      <w:pPr>
        <w:spacing w:after="0" w:line="198"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and safety practices and public-company reporting and disclosures requirements. These laws and regulations, particularly those applicable to our international operations, are or may be complex, extensive and subject to change. We will need to ensure that we and our suppliers, customers and partners timely comply with such laws and regulations, which may result in an increase in our operating costs.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which could substantially increase the complexity of our public-company reporting and disclosure requirements and our compliance and operating costs.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harm our business.</w:t>
      </w:r>
    </w:p>
    <w:p>
      <w:pPr>
        <w:spacing w:after="0" w:line="19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19" w:lineRule="exact"/>
        <w:rPr>
          <w:sz w:val="20"/>
          <w:szCs w:val="20"/>
          <w:color w:val="auto"/>
        </w:rPr>
      </w:pPr>
    </w:p>
    <w:p>
      <w:pPr>
        <w:ind w:right="280" w:firstLine="162"/>
        <w:spacing w:after="0" w:line="261" w:lineRule="auto"/>
        <w:rPr>
          <w:sz w:val="20"/>
          <w:szCs w:val="20"/>
          <w:color w:val="auto"/>
        </w:rPr>
      </w:pPr>
      <w:r>
        <w:rPr>
          <w:rFonts w:ascii="Arial" w:cs="Arial" w:eastAsia="Arial" w:hAnsi="Arial"/>
          <w:sz w:val="18"/>
          <w:szCs w:val="18"/>
          <w:b w:val="1"/>
          <w:bCs w:val="1"/>
          <w:i w:val="1"/>
          <w:iCs w:val="1"/>
          <w:color w:val="auto"/>
        </w:rPr>
        <w:t>Our aspirations, disclosures, and actions related to environmental, social and governance (“ESG”) matters expose us to risks that could adversely affect our reputation and performance.</w:t>
      </w:r>
    </w:p>
    <w:p>
      <w:pPr>
        <w:spacing w:after="0" w:line="21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There is an increased focus from investors, customers, associates, business partners and other stakeholders concerning ESG matters, and we announce initiatives and goals related to ESG matters from time to time, including renewable energy and net zero emissions commitments. These statements reflect our current plans and aspirations and are not guarantees that we will be able to achieve them. Our ability to achieve any ESG objective is subject to numerous risks, many of which are outside of our control, including the availability and cost of alternative energy sources; the evolving regulatory and reporting requirements affecting ESG practices and disclosures; the locations and usage of our products and the implications on their greenhouse gas emissions; and the successful execution of our strategy. Our failure to accomplish or accurately track and report on these goals on a timely basis, or at all,</w:t>
      </w:r>
    </w:p>
    <w:p>
      <w:pPr>
        <w:spacing w:after="0" w:line="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and the potential added costs involved, could adversely affect our reputation; financial performance and growth; our ability to attract or retain talent; and our attractiveness as a business partner or supplier, and could expose us to increased litigation risk, as well as increased scrutiny from the investment community and enforcement authorities.</w:t>
      </w:r>
    </w:p>
    <w:p>
      <w:pPr>
        <w:spacing w:after="0" w:line="224" w:lineRule="exact"/>
        <w:rPr>
          <w:sz w:val="20"/>
          <w:szCs w:val="20"/>
          <w:color w:val="auto"/>
        </w:rPr>
      </w:pPr>
    </w:p>
    <w:p>
      <w:pPr>
        <w:ind w:right="24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From time to time, we are involved in litigation, including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21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affect demand for our products and harm the market prices of our securities.</w:t>
      </w:r>
    </w:p>
    <w:p>
      <w:pPr>
        <w:spacing w:after="0" w:line="20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215"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9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harm our business.</w:t>
      </w:r>
    </w:p>
    <w:p>
      <w:pPr>
        <w:spacing w:after="0" w:line="20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w:t>
      </w:r>
    </w:p>
    <w:p>
      <w:pPr>
        <w:spacing w:after="0" w:line="214" w:lineRule="exact"/>
        <w:rPr>
          <w:sz w:val="20"/>
          <w:szCs w:val="20"/>
          <w:color w:val="auto"/>
        </w:rPr>
      </w:pPr>
    </w:p>
    <w:p>
      <w:pPr>
        <w:ind w:right="860" w:firstLine="162"/>
        <w:spacing w:after="0" w:line="277" w:lineRule="auto"/>
        <w:rPr>
          <w:sz w:val="20"/>
          <w:szCs w:val="20"/>
          <w:color w:val="auto"/>
        </w:rPr>
      </w:pPr>
      <w:r>
        <w:rPr>
          <w:rFonts w:ascii="Arial" w:cs="Arial" w:eastAsia="Arial" w:hAnsi="Arial"/>
          <w:sz w:val="18"/>
          <w:szCs w:val="18"/>
          <w:b w:val="1"/>
          <w:bCs w:val="1"/>
          <w:i w:val="1"/>
          <w:iCs w:val="1"/>
          <w:color w:val="auto"/>
        </w:rPr>
        <w:t>Our reliance on IP and other proprietary information subjects us to the risk that these key components of our business could be copied by competitors.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20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negatively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215"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b w:val="1"/>
          <w:bCs w:val="1"/>
          <w:i w:val="1"/>
          <w:iCs w:val="1"/>
          <w:color w:val="auto"/>
        </w:rPr>
        <w:t>The exclusive forum provisions in our Bylaws could limit our stockholders' ability to bring a claim in a judicial forum that it finds favorable for disputes with the Company or its directors, officers or other employees.</w:t>
      </w:r>
    </w:p>
    <w:p>
      <w:pPr>
        <w:spacing w:after="0" w:line="184" w:lineRule="exact"/>
        <w:rPr>
          <w:sz w:val="20"/>
          <w:szCs w:val="20"/>
          <w:color w:val="auto"/>
        </w:rPr>
      </w:pPr>
    </w:p>
    <w:p>
      <w:pPr>
        <w:ind w:right="60" w:firstLine="324"/>
        <w:spacing w:after="0" w:line="236" w:lineRule="auto"/>
        <w:rPr>
          <w:sz w:val="20"/>
          <w:szCs w:val="20"/>
          <w:color w:val="auto"/>
        </w:rPr>
      </w:pPr>
      <w:r>
        <w:rPr>
          <w:rFonts w:ascii="Arial" w:cs="Arial" w:eastAsia="Arial" w:hAnsi="Arial"/>
          <w:sz w:val="18"/>
          <w:szCs w:val="18"/>
          <w:color w:val="auto"/>
        </w:rPr>
        <w:t>Our Bylaws provide that, unless the Company consents in writing to the selection of an alternative forum, the Court of Chancery of the State of Delaware (or the federal district court in the State of Delaware if the Court of Chancery does not have subject matter jurisdiction) is the sole and exclusive forum for (i) any derivative action brought on behalf of the Company, (ii) any action asserting a claim of breach of a fiduciary duty owed by any current or former director, officer or other employee of the Company or its stockholders, (iii) any action asserting a claim arising pursuant to any provision of the Delaware General Corporation Law or the Company’s Certificate of Incorporation or Bylaws, or (iv) any action asserting a claim governed by the internal affairs doctrine (the “Delaware Exclusive Forum Provision”). Our Bylaws further provide that the federal district courts of the United States of America will, to the fullest extent permitted by law, be the exclusive forum for resolving any complaint asserting a cause of action under the Securities Act of 1933, as amended (the “Federal Forum Provision”).</w:t>
      </w:r>
    </w:p>
    <w:p>
      <w:pPr>
        <w:spacing w:after="0" w:line="23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Delaware Exclusive Forum Provision is intended to apply to claims arising under Delaware state law and would not apply to claims brought pursuant to the Exchange Act or any other claim for which the federal courts have exclusive jurisdiction. In addition, the Federal Forum Provision is intended to apply to claims arising under the Securities Act and would not apply to claims brought pursuant to the Exchange Act. The exclusive forum provisions in the Company’s Bylaws will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will not be deemed to have waived our compliance with these laws, rules and regulations.</w:t>
      </w:r>
    </w:p>
    <w:p>
      <w:pPr>
        <w:spacing w:after="0" w:line="191"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The exclusive forum provisions in the Company’s Bylaws may limit a stockholder’s ability to bring a claim in a judicial forum of its choosing for disputes with the company or its directors, officers or other employees, which may discourage lawsuits against the Company and its directors, officers and other employees. In addition, stockholders who do bring a claim in the Court of Chancery of the State of Delaware pursuant to the Delaware Exclusive Forum Provision could face additional litigation costs in pursuing any such claim, particularly if they do not reside in or near Delaware. The court in the designated forum under our exclusive forum provisions may also reach different judgments or results than would other courts, including courts where a stockholder would otherwise choose to bring the action, and such judgments or results may be more favorable to the Company than to our stockholders. Further, the enforceability of similar exclusive forum provisions in other companies’ organizational documents has been challenged in legal proceedings, and it is possible that a court could find any of our exclusive forum provisions to be inapplicable to, or unenforceable in respect of, one or more of the specified types of actions or proceedings. If a court were to find all or any part of our exclusive forum provisions to be inapplicable or unenforceable in an action, we might incur additional costs associated with resolving such action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56" w:lineRule="exact"/>
        <w:rPr>
          <w:sz w:val="20"/>
          <w:szCs w:val="20"/>
          <w:color w:val="auto"/>
        </w:rPr>
      </w:pPr>
    </w:p>
    <w:p>
      <w:pPr>
        <w:ind w:right="360" w:firstLine="324"/>
        <w:spacing w:after="0" w:line="269" w:lineRule="auto"/>
        <w:rPr>
          <w:sz w:val="20"/>
          <w:szCs w:val="20"/>
          <w:color w:val="auto"/>
        </w:rPr>
      </w:pPr>
      <w:r>
        <w:rPr>
          <w:rFonts w:ascii="Arial" w:cs="Arial" w:eastAsia="Arial" w:hAnsi="Arial"/>
          <w:sz w:val="18"/>
          <w:szCs w:val="18"/>
          <w:color w:val="auto"/>
        </w:rPr>
        <w:t>Our principal executive offices are located in San Jose, California. Our leased facilities have contracts expiring at various times through 2034. Our principal manufacturing, R&amp;D, marketing and administrative facilities as of June 30, 2023 were as follows:</w:t>
      </w:r>
    </w:p>
    <w:tbl>
      <w:tblPr>
        <w:tblLayout w:type="fixed"/>
        <w:tblInd w:w="0" w:type="dxa"/>
        <w:tblCellMar>
          <w:top w:w="0" w:type="dxa"/>
          <w:left w:w="0" w:type="dxa"/>
          <w:bottom w:w="0" w:type="dxa"/>
          <w:right w:w="0" w:type="dxa"/>
        </w:tblCellMar>
      </w:tblPr>
      <w:tr>
        <w:trPr>
          <w:trHeight w:val="149"/>
        </w:trPr>
        <w:tc>
          <w:tcPr>
            <w:tcW w:w="2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12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Buildings Owned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Approximate</w:t>
            </w:r>
          </w:p>
        </w:tc>
        <w:tc>
          <w:tcPr>
            <w:tcW w:w="6120" w:type="dxa"/>
            <w:vAlign w:val="bottom"/>
            <w:vMerge w:val="restart"/>
          </w:tcPr>
          <w:p>
            <w:pPr>
              <w:ind w:left="2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640" w:type="dxa"/>
            <w:vAlign w:val="bottom"/>
            <w:gridSpan w:val="2"/>
            <w:vMerge w:val="continue"/>
          </w:tcPr>
          <w:p>
            <w:pPr>
              <w:spacing w:after="0"/>
              <w:rPr>
                <w:sz w:val="16"/>
                <w:szCs w:val="16"/>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or Leased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Square Footage</w:t>
            </w:r>
          </w:p>
        </w:tc>
        <w:tc>
          <w:tcPr>
            <w:tcW w:w="6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United States</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gridSpan w:val="2"/>
          </w:tcPr>
          <w:p>
            <w:pPr>
              <w:ind w:left="360"/>
              <w:spacing w:after="0"/>
              <w:rPr>
                <w:sz w:val="20"/>
                <w:szCs w:val="20"/>
                <w:color w:val="auto"/>
              </w:rPr>
            </w:pPr>
            <w:r>
              <w:rPr>
                <w:rFonts w:ascii="Arial" w:cs="Arial" w:eastAsia="Arial" w:hAnsi="Arial"/>
                <w:sz w:val="16"/>
                <w:szCs w:val="16"/>
                <w:color w:val="auto"/>
              </w:rPr>
              <w:t>California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Fremont</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295,000</w:t>
            </w: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HDD manufacturing of head wafers and R&amp;D</w:t>
            </w:r>
          </w:p>
        </w:tc>
        <w:tc>
          <w:tcPr>
            <w:tcW w:w="0" w:type="dxa"/>
            <w:vAlign w:val="bottom"/>
          </w:tcPr>
          <w:p>
            <w:pPr>
              <w:spacing w:after="0"/>
              <w:rPr>
                <w:sz w:val="1"/>
                <w:szCs w:val="1"/>
                <w:color w:val="auto"/>
              </w:rPr>
            </w:pPr>
          </w:p>
        </w:tc>
      </w:tr>
      <w:tr>
        <w:trPr>
          <w:trHeight w:val="213"/>
        </w:trPr>
        <w:tc>
          <w:tcPr>
            <w:tcW w:w="2640" w:type="dxa"/>
            <w:vAlign w:val="bottom"/>
            <w:gridSpan w:val="2"/>
          </w:tcPr>
          <w:p>
            <w:pPr>
              <w:ind w:left="680"/>
              <w:spacing w:after="0"/>
              <w:rPr>
                <w:sz w:val="20"/>
                <w:szCs w:val="20"/>
                <w:color w:val="auto"/>
              </w:rPr>
            </w:pPr>
            <w:r>
              <w:rPr>
                <w:rFonts w:ascii="Arial" w:cs="Arial" w:eastAsia="Arial" w:hAnsi="Arial"/>
                <w:sz w:val="16"/>
                <w:szCs w:val="16"/>
                <w:color w:val="auto"/>
              </w:rPr>
              <w:t>Irvine</w:t>
            </w: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Leased</w:t>
            </w:r>
          </w:p>
        </w:tc>
        <w:tc>
          <w:tcPr>
            <w:tcW w:w="1140" w:type="dxa"/>
            <w:vAlign w:val="bottom"/>
          </w:tcPr>
          <w:p>
            <w:pPr>
              <w:jc w:val="right"/>
              <w:spacing w:after="0"/>
              <w:rPr>
                <w:sz w:val="20"/>
                <w:szCs w:val="20"/>
                <w:color w:val="auto"/>
              </w:rPr>
            </w:pPr>
            <w:r>
              <w:rPr>
                <w:rFonts w:ascii="Arial" w:cs="Arial" w:eastAsia="Arial" w:hAnsi="Arial"/>
                <w:sz w:val="16"/>
                <w:szCs w:val="16"/>
                <w:color w:val="auto"/>
              </w:rPr>
              <w:t>458,000</w:t>
            </w:r>
          </w:p>
        </w:tc>
        <w:tc>
          <w:tcPr>
            <w:tcW w:w="1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Arial" w:cs="Arial" w:eastAsia="Arial" w:hAnsi="Arial"/>
                <w:sz w:val="16"/>
                <w:szCs w:val="16"/>
                <w:color w:val="auto"/>
              </w:rPr>
              <w:t>HDD R&amp;D, administrative, marketing and sales</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Milpitas</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578,000</w:t>
            </w: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Flash R&amp;D, marketing and sales, and administrative</w:t>
            </w:r>
          </w:p>
        </w:tc>
        <w:tc>
          <w:tcPr>
            <w:tcW w:w="0" w:type="dxa"/>
            <w:vAlign w:val="bottom"/>
          </w:tcPr>
          <w:p>
            <w:pPr>
              <w:spacing w:after="0"/>
              <w:rPr>
                <w:sz w:val="1"/>
                <w:szCs w:val="1"/>
                <w:color w:val="auto"/>
              </w:rPr>
            </w:pPr>
          </w:p>
        </w:tc>
      </w:tr>
      <w:tr>
        <w:trPr>
          <w:trHeight w:val="166"/>
        </w:trPr>
        <w:tc>
          <w:tcPr>
            <w:tcW w:w="2640" w:type="dxa"/>
            <w:vAlign w:val="bottom"/>
            <w:gridSpan w:val="2"/>
          </w:tcPr>
          <w:p>
            <w:pPr>
              <w:ind w:left="680"/>
              <w:spacing w:after="0" w:line="166" w:lineRule="exact"/>
              <w:rPr>
                <w:sz w:val="20"/>
                <w:szCs w:val="20"/>
                <w:color w:val="auto"/>
              </w:rPr>
            </w:pPr>
            <w:r>
              <w:rPr>
                <w:rFonts w:ascii="Arial" w:cs="Arial" w:eastAsia="Arial" w:hAnsi="Arial"/>
                <w:sz w:val="16"/>
                <w:szCs w:val="16"/>
                <w:color w:val="auto"/>
              </w:rPr>
              <w:t>San Jose</w:t>
            </w:r>
          </w:p>
        </w:tc>
        <w:tc>
          <w:tcPr>
            <w:tcW w:w="12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Owned</w:t>
            </w:r>
          </w:p>
        </w:tc>
        <w:tc>
          <w:tcPr>
            <w:tcW w:w="1140" w:type="dxa"/>
            <w:vAlign w:val="bottom"/>
          </w:tcPr>
          <w:p>
            <w:pPr>
              <w:jc w:val="right"/>
              <w:spacing w:after="0" w:line="166" w:lineRule="exact"/>
              <w:rPr>
                <w:sz w:val="20"/>
                <w:szCs w:val="20"/>
                <w:color w:val="auto"/>
              </w:rPr>
            </w:pPr>
            <w:r>
              <w:rPr>
                <w:rFonts w:ascii="Arial" w:cs="Arial" w:eastAsia="Arial" w:hAnsi="Arial"/>
                <w:sz w:val="16"/>
                <w:szCs w:val="16"/>
                <w:color w:val="auto"/>
              </w:rPr>
              <w:t>2,205,000</w:t>
            </w:r>
          </w:p>
        </w:tc>
        <w:tc>
          <w:tcPr>
            <w:tcW w:w="100" w:type="dxa"/>
            <w:vAlign w:val="bottom"/>
          </w:tcPr>
          <w:p>
            <w:pPr>
              <w:spacing w:after="0"/>
              <w:rPr>
                <w:sz w:val="14"/>
                <w:szCs w:val="14"/>
                <w:color w:val="auto"/>
              </w:rPr>
            </w:pPr>
          </w:p>
        </w:tc>
        <w:tc>
          <w:tcPr>
            <w:tcW w:w="6120" w:type="dxa"/>
            <w:vAlign w:val="bottom"/>
          </w:tcPr>
          <w:p>
            <w:pPr>
              <w:ind w:left="20"/>
              <w:spacing w:after="0" w:line="166" w:lineRule="exact"/>
              <w:rPr>
                <w:sz w:val="20"/>
                <w:szCs w:val="20"/>
                <w:color w:val="auto"/>
              </w:rPr>
            </w:pPr>
            <w:r>
              <w:rPr>
                <w:rFonts w:ascii="Arial" w:cs="Arial" w:eastAsia="Arial" w:hAnsi="Arial"/>
                <w:sz w:val="16"/>
                <w:szCs w:val="16"/>
                <w:color w:val="auto"/>
                <w:w w:val="96"/>
              </w:rPr>
              <w:t>Manufacturing of head wafers, head, media and product development, R&amp;D for Flash and</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Arial" w:cs="Arial" w:eastAsia="Arial" w:hAnsi="Arial"/>
                <w:sz w:val="16"/>
                <w:szCs w:val="16"/>
                <w:color w:val="auto"/>
              </w:rPr>
              <w:t>HDD, administrative, marketing and sales</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Colorado</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40" w:type="dxa"/>
            <w:vAlign w:val="bottom"/>
            <w:gridSpan w:val="2"/>
          </w:tcPr>
          <w:p>
            <w:pPr>
              <w:ind w:left="680"/>
              <w:spacing w:after="0"/>
              <w:rPr>
                <w:sz w:val="20"/>
                <w:szCs w:val="20"/>
                <w:color w:val="auto"/>
              </w:rPr>
            </w:pPr>
            <w:r>
              <w:rPr>
                <w:rFonts w:ascii="Arial" w:cs="Arial" w:eastAsia="Arial" w:hAnsi="Arial"/>
                <w:sz w:val="16"/>
                <w:szCs w:val="16"/>
                <w:color w:val="auto"/>
              </w:rPr>
              <w:t>Longmont</w:t>
            </w: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Leased</w:t>
            </w:r>
          </w:p>
        </w:tc>
        <w:tc>
          <w:tcPr>
            <w:tcW w:w="1140" w:type="dxa"/>
            <w:vAlign w:val="bottom"/>
          </w:tcPr>
          <w:p>
            <w:pPr>
              <w:jc w:val="right"/>
              <w:spacing w:after="0"/>
              <w:rPr>
                <w:sz w:val="20"/>
                <w:szCs w:val="20"/>
                <w:color w:val="auto"/>
              </w:rPr>
            </w:pPr>
            <w:r>
              <w:rPr>
                <w:rFonts w:ascii="Arial" w:cs="Arial" w:eastAsia="Arial" w:hAnsi="Arial"/>
                <w:sz w:val="16"/>
                <w:szCs w:val="16"/>
                <w:color w:val="auto"/>
              </w:rPr>
              <w:t>62,000</w:t>
            </w:r>
          </w:p>
        </w:tc>
        <w:tc>
          <w:tcPr>
            <w:tcW w:w="1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Arial" w:cs="Arial" w:eastAsia="Arial" w:hAnsi="Arial"/>
                <w:sz w:val="16"/>
                <w:szCs w:val="16"/>
                <w:color w:val="auto"/>
              </w:rPr>
              <w:t>Flash R&amp;D</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Colorado Springs</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54,000</w:t>
            </w: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HDD R&amp;D</w:t>
            </w:r>
          </w:p>
        </w:tc>
        <w:tc>
          <w:tcPr>
            <w:tcW w:w="0" w:type="dxa"/>
            <w:vAlign w:val="bottom"/>
          </w:tcPr>
          <w:p>
            <w:pPr>
              <w:spacing w:after="0"/>
              <w:rPr>
                <w:sz w:val="1"/>
                <w:szCs w:val="1"/>
                <w:color w:val="auto"/>
              </w:rPr>
            </w:pPr>
          </w:p>
        </w:tc>
      </w:tr>
      <w:tr>
        <w:trPr>
          <w:trHeight w:val="213"/>
        </w:trPr>
        <w:tc>
          <w:tcPr>
            <w:tcW w:w="2640" w:type="dxa"/>
            <w:vAlign w:val="bottom"/>
            <w:gridSpan w:val="2"/>
          </w:tcPr>
          <w:p>
            <w:pPr>
              <w:ind w:left="360"/>
              <w:spacing w:after="0"/>
              <w:rPr>
                <w:sz w:val="20"/>
                <w:szCs w:val="20"/>
                <w:color w:val="auto"/>
              </w:rPr>
            </w:pPr>
            <w:r>
              <w:rPr>
                <w:rFonts w:ascii="Arial" w:cs="Arial" w:eastAsia="Arial" w:hAnsi="Arial"/>
                <w:sz w:val="16"/>
                <w:szCs w:val="16"/>
                <w:color w:val="auto"/>
              </w:rPr>
              <w:t>Minnesota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Rochester</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156,000</w:t>
            </w: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Flash and HDD product development</w:t>
            </w:r>
          </w:p>
        </w:tc>
        <w:tc>
          <w:tcPr>
            <w:tcW w:w="0" w:type="dxa"/>
            <w:vAlign w:val="bottom"/>
          </w:tcPr>
          <w:p>
            <w:pPr>
              <w:spacing w:after="0"/>
              <w:rPr>
                <w:sz w:val="1"/>
                <w:szCs w:val="1"/>
                <w:color w:val="auto"/>
              </w:rPr>
            </w:pPr>
          </w:p>
        </w:tc>
      </w:tr>
      <w:tr>
        <w:trPr>
          <w:trHeight w:val="213"/>
        </w:trPr>
        <w:tc>
          <w:tcPr>
            <w:tcW w:w="2640" w:type="dxa"/>
            <w:vAlign w:val="bottom"/>
            <w:gridSpan w:val="2"/>
          </w:tcPr>
          <w:p>
            <w:pPr>
              <w:ind w:left="20"/>
              <w:spacing w:after="0"/>
              <w:rPr>
                <w:sz w:val="20"/>
                <w:szCs w:val="20"/>
                <w:color w:val="auto"/>
              </w:rPr>
            </w:pPr>
            <w:r>
              <w:rPr>
                <w:rFonts w:ascii="Arial" w:cs="Arial" w:eastAsia="Arial" w:hAnsi="Arial"/>
                <w:sz w:val="16"/>
                <w:szCs w:val="16"/>
                <w:b w:val="1"/>
                <w:bCs w:val="1"/>
                <w:color w:val="auto"/>
              </w:rPr>
              <w:t>Asia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China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40" w:type="dxa"/>
            <w:vAlign w:val="bottom"/>
            <w:gridSpan w:val="2"/>
          </w:tcPr>
          <w:p>
            <w:pPr>
              <w:ind w:left="680"/>
              <w:spacing w:after="0"/>
              <w:rPr>
                <w:sz w:val="20"/>
                <w:szCs w:val="20"/>
                <w:color w:val="auto"/>
              </w:rPr>
            </w:pPr>
            <w:r>
              <w:rPr>
                <w:rFonts w:ascii="Arial" w:cs="Arial" w:eastAsia="Arial" w:hAnsi="Arial"/>
                <w:sz w:val="16"/>
                <w:szCs w:val="16"/>
                <w:color w:val="auto"/>
              </w:rPr>
              <w:t>Shanghai</w:t>
            </w: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Owned</w:t>
            </w:r>
          </w:p>
        </w:tc>
        <w:tc>
          <w:tcPr>
            <w:tcW w:w="1140" w:type="dxa"/>
            <w:vAlign w:val="bottom"/>
          </w:tcPr>
          <w:p>
            <w:pPr>
              <w:jc w:val="right"/>
              <w:spacing w:after="0"/>
              <w:rPr>
                <w:sz w:val="20"/>
                <w:szCs w:val="20"/>
                <w:color w:val="auto"/>
              </w:rPr>
            </w:pPr>
            <w:r>
              <w:rPr>
                <w:rFonts w:ascii="Arial" w:cs="Arial" w:eastAsia="Arial" w:hAnsi="Arial"/>
                <w:sz w:val="16"/>
                <w:szCs w:val="16"/>
                <w:color w:val="auto"/>
              </w:rPr>
              <w:t>914,000</w:t>
            </w:r>
          </w:p>
        </w:tc>
        <w:tc>
          <w:tcPr>
            <w:tcW w:w="1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Arial" w:cs="Arial" w:eastAsia="Arial" w:hAnsi="Arial"/>
                <w:sz w:val="16"/>
                <w:szCs w:val="16"/>
                <w:color w:val="auto"/>
              </w:rPr>
              <w:t>Flash assembly and test of SSD</w:t>
            </w:r>
          </w:p>
        </w:tc>
        <w:tc>
          <w:tcPr>
            <w:tcW w:w="0" w:type="dxa"/>
            <w:vAlign w:val="bottom"/>
          </w:tcPr>
          <w:p>
            <w:pPr>
              <w:spacing w:after="0"/>
              <w:rPr>
                <w:sz w:val="1"/>
                <w:szCs w:val="1"/>
                <w:color w:val="auto"/>
              </w:rPr>
            </w:pPr>
          </w:p>
        </w:tc>
      </w:tr>
      <w:tr>
        <w:trPr>
          <w:trHeight w:val="169"/>
        </w:trPr>
        <w:tc>
          <w:tcPr>
            <w:tcW w:w="2640" w:type="dxa"/>
            <w:vAlign w:val="bottom"/>
            <w:gridSpan w:val="2"/>
            <w:shd w:val="clear" w:color="auto" w:fill="CCEEFF"/>
          </w:tcPr>
          <w:p>
            <w:pPr>
              <w:ind w:left="680"/>
              <w:spacing w:after="0" w:line="169" w:lineRule="exact"/>
              <w:rPr>
                <w:sz w:val="20"/>
                <w:szCs w:val="20"/>
                <w:color w:val="auto"/>
              </w:rPr>
            </w:pPr>
            <w:r>
              <w:rPr>
                <w:rFonts w:ascii="Arial" w:cs="Arial" w:eastAsia="Arial" w:hAnsi="Arial"/>
                <w:sz w:val="16"/>
                <w:szCs w:val="16"/>
                <w:color w:val="auto"/>
              </w:rPr>
              <w:t>Shenzhen</w:t>
            </w:r>
          </w:p>
        </w:tc>
        <w:tc>
          <w:tcPr>
            <w:tcW w:w="12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Owned and</w:t>
            </w:r>
          </w:p>
        </w:tc>
        <w:tc>
          <w:tcPr>
            <w:tcW w:w="11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563,000</w:t>
            </w:r>
          </w:p>
        </w:tc>
        <w:tc>
          <w:tcPr>
            <w:tcW w:w="100" w:type="dxa"/>
            <w:vAlign w:val="bottom"/>
            <w:shd w:val="clear" w:color="auto" w:fill="CCEEFF"/>
          </w:tcPr>
          <w:p>
            <w:pPr>
              <w:spacing w:after="0"/>
              <w:rPr>
                <w:sz w:val="14"/>
                <w:szCs w:val="14"/>
                <w:color w:val="auto"/>
              </w:rPr>
            </w:pPr>
          </w:p>
        </w:tc>
        <w:tc>
          <w:tcPr>
            <w:tcW w:w="6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HDD manufacturing of media</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gridSpan w:val="2"/>
          </w:tcPr>
          <w:p>
            <w:pPr>
              <w:ind w:left="360"/>
              <w:spacing w:after="0"/>
              <w:rPr>
                <w:sz w:val="20"/>
                <w:szCs w:val="20"/>
                <w:color w:val="auto"/>
              </w:rPr>
            </w:pPr>
            <w:r>
              <w:rPr>
                <w:rFonts w:ascii="Arial" w:cs="Arial" w:eastAsia="Arial" w:hAnsi="Arial"/>
                <w:sz w:val="16"/>
                <w:szCs w:val="16"/>
                <w:b w:val="1"/>
                <w:bCs w:val="1"/>
                <w:color w:val="auto"/>
              </w:rPr>
              <w:t>Japan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Fujisawa</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661,000</w:t>
            </w: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HDD product development</w:t>
            </w:r>
          </w:p>
        </w:tc>
        <w:tc>
          <w:tcPr>
            <w:tcW w:w="0" w:type="dxa"/>
            <w:vAlign w:val="bottom"/>
          </w:tcPr>
          <w:p>
            <w:pPr>
              <w:spacing w:after="0"/>
              <w:rPr>
                <w:sz w:val="1"/>
                <w:szCs w:val="1"/>
                <w:color w:val="auto"/>
              </w:rPr>
            </w:pPr>
          </w:p>
        </w:tc>
      </w:tr>
      <w:tr>
        <w:trPr>
          <w:trHeight w:val="213"/>
        </w:trPr>
        <w:tc>
          <w:tcPr>
            <w:tcW w:w="26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Malaysia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Johor</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277,000</w:t>
            </w: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HDD manufacturing of substrates</w:t>
            </w:r>
          </w:p>
        </w:tc>
        <w:tc>
          <w:tcPr>
            <w:tcW w:w="0" w:type="dxa"/>
            <w:vAlign w:val="bottom"/>
          </w:tcPr>
          <w:p>
            <w:pPr>
              <w:spacing w:after="0"/>
              <w:rPr>
                <w:sz w:val="1"/>
                <w:szCs w:val="1"/>
                <w:color w:val="auto"/>
              </w:rPr>
            </w:pPr>
          </w:p>
        </w:tc>
      </w:tr>
      <w:tr>
        <w:trPr>
          <w:trHeight w:val="210"/>
        </w:trPr>
        <w:tc>
          <w:tcPr>
            <w:tcW w:w="2640" w:type="dxa"/>
            <w:vAlign w:val="bottom"/>
            <w:gridSpan w:val="2"/>
          </w:tcPr>
          <w:p>
            <w:pPr>
              <w:ind w:left="680"/>
              <w:spacing w:after="0"/>
              <w:rPr>
                <w:sz w:val="20"/>
                <w:szCs w:val="20"/>
                <w:color w:val="auto"/>
              </w:rPr>
            </w:pPr>
            <w:r>
              <w:rPr>
                <w:rFonts w:ascii="Arial" w:cs="Arial" w:eastAsia="Arial" w:hAnsi="Arial"/>
                <w:sz w:val="16"/>
                <w:szCs w:val="16"/>
                <w:color w:val="auto"/>
              </w:rPr>
              <w:t>Kuala Lumpur</w:t>
            </w: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Owned</w:t>
            </w:r>
          </w:p>
        </w:tc>
        <w:tc>
          <w:tcPr>
            <w:tcW w:w="1140" w:type="dxa"/>
            <w:vAlign w:val="bottom"/>
          </w:tcPr>
          <w:p>
            <w:pPr>
              <w:jc w:val="right"/>
              <w:spacing w:after="0"/>
              <w:rPr>
                <w:sz w:val="20"/>
                <w:szCs w:val="20"/>
                <w:color w:val="auto"/>
              </w:rPr>
            </w:pPr>
            <w:r>
              <w:rPr>
                <w:rFonts w:ascii="Arial" w:cs="Arial" w:eastAsia="Arial" w:hAnsi="Arial"/>
                <w:sz w:val="16"/>
                <w:szCs w:val="16"/>
                <w:color w:val="auto"/>
              </w:rPr>
              <w:t>145,000</w:t>
            </w:r>
          </w:p>
        </w:tc>
        <w:tc>
          <w:tcPr>
            <w:tcW w:w="1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Arial" w:cs="Arial" w:eastAsia="Arial" w:hAnsi="Arial"/>
                <w:sz w:val="16"/>
                <w:szCs w:val="16"/>
                <w:color w:val="auto"/>
              </w:rPr>
              <w:t>HDD R&amp;D and administrative</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Kuching</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529,000</w:t>
            </w:r>
          </w:p>
        </w:tc>
        <w:tc>
          <w:tcPr>
            <w:tcW w:w="100" w:type="dxa"/>
            <w:vAlign w:val="bottom"/>
            <w:shd w:val="clear" w:color="auto" w:fill="CCEEFF"/>
          </w:tcPr>
          <w:p>
            <w:pPr>
              <w:spacing w:after="0"/>
              <w:rPr>
                <w:sz w:val="18"/>
                <w:szCs w:val="18"/>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HDD manufacturing and development of substrates</w:t>
            </w:r>
          </w:p>
        </w:tc>
        <w:tc>
          <w:tcPr>
            <w:tcW w:w="0" w:type="dxa"/>
            <w:vAlign w:val="bottom"/>
          </w:tcPr>
          <w:p>
            <w:pPr>
              <w:spacing w:after="0"/>
              <w:rPr>
                <w:sz w:val="1"/>
                <w:szCs w:val="1"/>
                <w:color w:val="auto"/>
              </w:rPr>
            </w:pPr>
          </w:p>
        </w:tc>
      </w:tr>
      <w:tr>
        <w:trPr>
          <w:trHeight w:val="213"/>
        </w:trPr>
        <w:tc>
          <w:tcPr>
            <w:tcW w:w="2640" w:type="dxa"/>
            <w:vAlign w:val="bottom"/>
            <w:gridSpan w:val="2"/>
          </w:tcPr>
          <w:p>
            <w:pPr>
              <w:ind w:left="680"/>
              <w:spacing w:after="0"/>
              <w:rPr>
                <w:sz w:val="20"/>
                <w:szCs w:val="20"/>
                <w:color w:val="auto"/>
              </w:rPr>
            </w:pPr>
            <w:r>
              <w:rPr>
                <w:rFonts w:ascii="Arial" w:cs="Arial" w:eastAsia="Arial" w:hAnsi="Arial"/>
                <w:sz w:val="16"/>
                <w:szCs w:val="16"/>
                <w:color w:val="auto"/>
              </w:rPr>
              <w:t>Penang</w:t>
            </w: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Owned</w:t>
            </w:r>
          </w:p>
        </w:tc>
        <w:tc>
          <w:tcPr>
            <w:tcW w:w="1140" w:type="dxa"/>
            <w:vAlign w:val="bottom"/>
          </w:tcPr>
          <w:p>
            <w:pPr>
              <w:jc w:val="right"/>
              <w:spacing w:after="0"/>
              <w:rPr>
                <w:sz w:val="20"/>
                <w:szCs w:val="20"/>
                <w:color w:val="auto"/>
              </w:rPr>
            </w:pPr>
            <w:r>
              <w:rPr>
                <w:rFonts w:ascii="Arial" w:cs="Arial" w:eastAsia="Arial" w:hAnsi="Arial"/>
                <w:sz w:val="16"/>
                <w:szCs w:val="16"/>
                <w:color w:val="auto"/>
              </w:rPr>
              <w:t>1,889,000</w:t>
            </w:r>
          </w:p>
        </w:tc>
        <w:tc>
          <w:tcPr>
            <w:tcW w:w="1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Arial" w:cs="Arial" w:eastAsia="Arial" w:hAnsi="Arial"/>
                <w:sz w:val="16"/>
                <w:szCs w:val="16"/>
                <w:color w:val="auto"/>
              </w:rPr>
              <w:t>Assembly and test of SSD, manufacturing of media, and R&amp;D for Flash and HDD</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Philippines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40" w:type="dxa"/>
            <w:vAlign w:val="bottom"/>
            <w:gridSpan w:val="2"/>
          </w:tcPr>
          <w:p>
            <w:pPr>
              <w:ind w:left="680"/>
              <w:spacing w:after="0"/>
              <w:rPr>
                <w:sz w:val="20"/>
                <w:szCs w:val="20"/>
                <w:color w:val="auto"/>
              </w:rPr>
            </w:pPr>
            <w:r>
              <w:rPr>
                <w:rFonts w:ascii="Arial" w:cs="Arial" w:eastAsia="Arial" w:hAnsi="Arial"/>
                <w:sz w:val="16"/>
                <w:szCs w:val="16"/>
                <w:color w:val="auto"/>
              </w:rPr>
              <w:t>Laguna</w:t>
            </w: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Owned</w:t>
            </w:r>
          </w:p>
        </w:tc>
        <w:tc>
          <w:tcPr>
            <w:tcW w:w="1140" w:type="dxa"/>
            <w:vAlign w:val="bottom"/>
          </w:tcPr>
          <w:p>
            <w:pPr>
              <w:jc w:val="right"/>
              <w:spacing w:after="0"/>
              <w:rPr>
                <w:sz w:val="20"/>
                <w:szCs w:val="20"/>
                <w:color w:val="auto"/>
              </w:rPr>
            </w:pPr>
            <w:r>
              <w:rPr>
                <w:rFonts w:ascii="Arial" w:cs="Arial" w:eastAsia="Arial" w:hAnsi="Arial"/>
                <w:sz w:val="16"/>
                <w:szCs w:val="16"/>
                <w:color w:val="auto"/>
              </w:rPr>
              <w:t>632,000</w:t>
            </w:r>
          </w:p>
        </w:tc>
        <w:tc>
          <w:tcPr>
            <w:tcW w:w="1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Arial" w:cs="Arial" w:eastAsia="Arial" w:hAnsi="Arial"/>
                <w:sz w:val="16"/>
                <w:szCs w:val="16"/>
                <w:color w:val="auto"/>
              </w:rPr>
              <w:t>HDD manufacturing of HGAs and slider fabrication</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Thailand</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640" w:type="dxa"/>
            <w:vAlign w:val="bottom"/>
            <w:gridSpan w:val="2"/>
          </w:tcPr>
          <w:p>
            <w:pPr>
              <w:ind w:left="680"/>
              <w:spacing w:after="0" w:line="166" w:lineRule="exact"/>
              <w:rPr>
                <w:sz w:val="20"/>
                <w:szCs w:val="20"/>
                <w:color w:val="auto"/>
              </w:rPr>
            </w:pPr>
            <w:r>
              <w:rPr>
                <w:rFonts w:ascii="Arial" w:cs="Arial" w:eastAsia="Arial" w:hAnsi="Arial"/>
                <w:sz w:val="16"/>
                <w:szCs w:val="16"/>
                <w:color w:val="auto"/>
              </w:rPr>
              <w:t>Bang Pa-In</w:t>
            </w:r>
          </w:p>
        </w:tc>
        <w:tc>
          <w:tcPr>
            <w:tcW w:w="12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Owned and</w:t>
            </w:r>
          </w:p>
        </w:tc>
        <w:tc>
          <w:tcPr>
            <w:tcW w:w="1140" w:type="dxa"/>
            <w:vAlign w:val="bottom"/>
          </w:tcPr>
          <w:p>
            <w:pPr>
              <w:jc w:val="right"/>
              <w:spacing w:after="0" w:line="166" w:lineRule="exact"/>
              <w:rPr>
                <w:sz w:val="20"/>
                <w:szCs w:val="20"/>
                <w:color w:val="auto"/>
              </w:rPr>
            </w:pPr>
            <w:r>
              <w:rPr>
                <w:rFonts w:ascii="Arial" w:cs="Arial" w:eastAsia="Arial" w:hAnsi="Arial"/>
                <w:sz w:val="16"/>
                <w:szCs w:val="16"/>
                <w:color w:val="auto"/>
              </w:rPr>
              <w:t>1,595,000</w:t>
            </w:r>
          </w:p>
        </w:tc>
        <w:tc>
          <w:tcPr>
            <w:tcW w:w="100" w:type="dxa"/>
            <w:vAlign w:val="bottom"/>
          </w:tcPr>
          <w:p>
            <w:pPr>
              <w:spacing w:after="0"/>
              <w:rPr>
                <w:sz w:val="14"/>
                <w:szCs w:val="14"/>
                <w:color w:val="auto"/>
              </w:rPr>
            </w:pPr>
          </w:p>
        </w:tc>
        <w:tc>
          <w:tcPr>
            <w:tcW w:w="6120" w:type="dxa"/>
            <w:vAlign w:val="bottom"/>
          </w:tcPr>
          <w:p>
            <w:pPr>
              <w:ind w:left="20"/>
              <w:spacing w:after="0" w:line="166" w:lineRule="exact"/>
              <w:rPr>
                <w:sz w:val="20"/>
                <w:szCs w:val="20"/>
                <w:color w:val="auto"/>
              </w:rPr>
            </w:pPr>
            <w:r>
              <w:rPr>
                <w:rFonts w:ascii="Arial" w:cs="Arial" w:eastAsia="Arial" w:hAnsi="Arial"/>
                <w:sz w:val="16"/>
                <w:szCs w:val="16"/>
                <w:color w:val="auto"/>
              </w:rPr>
              <w:t>HDD slider fabrication, manufacturing of HDDs and HGAs, and R&amp;D</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Leased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Prachinburi</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1,568,000</w:t>
            </w: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HDD manufacturing</w:t>
            </w:r>
          </w:p>
        </w:tc>
        <w:tc>
          <w:tcPr>
            <w:tcW w:w="0" w:type="dxa"/>
            <w:vAlign w:val="bottom"/>
          </w:tcPr>
          <w:p>
            <w:pPr>
              <w:spacing w:after="0"/>
              <w:rPr>
                <w:sz w:val="1"/>
                <w:szCs w:val="1"/>
                <w:color w:val="auto"/>
              </w:rPr>
            </w:pPr>
          </w:p>
        </w:tc>
      </w:tr>
      <w:tr>
        <w:trPr>
          <w:trHeight w:val="213"/>
        </w:trPr>
        <w:tc>
          <w:tcPr>
            <w:tcW w:w="2640" w:type="dxa"/>
            <w:vAlign w:val="bottom"/>
            <w:gridSpan w:val="2"/>
          </w:tcPr>
          <w:p>
            <w:pPr>
              <w:ind w:left="360"/>
              <w:spacing w:after="0"/>
              <w:rPr>
                <w:sz w:val="20"/>
                <w:szCs w:val="20"/>
                <w:color w:val="auto"/>
              </w:rPr>
            </w:pPr>
            <w:r>
              <w:rPr>
                <w:rFonts w:ascii="Arial" w:cs="Arial" w:eastAsia="Arial" w:hAnsi="Arial"/>
                <w:sz w:val="16"/>
                <w:szCs w:val="16"/>
                <w:b w:val="1"/>
                <w:bCs w:val="1"/>
                <w:color w:val="auto"/>
              </w:rPr>
              <w:t>India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640" w:type="dxa"/>
            <w:vAlign w:val="bottom"/>
            <w:gridSpan w:val="2"/>
            <w:shd w:val="clear" w:color="auto" w:fill="CCEEFF"/>
          </w:tcPr>
          <w:p>
            <w:pPr>
              <w:ind w:left="680"/>
              <w:spacing w:after="0" w:line="168" w:lineRule="exact"/>
              <w:rPr>
                <w:sz w:val="20"/>
                <w:szCs w:val="20"/>
                <w:color w:val="auto"/>
              </w:rPr>
            </w:pPr>
            <w:r>
              <w:rPr>
                <w:rFonts w:ascii="Arial" w:cs="Arial" w:eastAsia="Arial" w:hAnsi="Arial"/>
                <w:sz w:val="16"/>
                <w:szCs w:val="16"/>
                <w:color w:val="auto"/>
              </w:rPr>
              <w:t>Bangalore</w:t>
            </w:r>
          </w:p>
        </w:tc>
        <w:tc>
          <w:tcPr>
            <w:tcW w:w="12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6"/>
                <w:szCs w:val="16"/>
                <w:color w:val="auto"/>
              </w:rPr>
              <w:t>Owned and</w:t>
            </w:r>
          </w:p>
        </w:tc>
        <w:tc>
          <w:tcPr>
            <w:tcW w:w="11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1,260,000</w:t>
            </w:r>
          </w:p>
        </w:tc>
        <w:tc>
          <w:tcPr>
            <w:tcW w:w="100" w:type="dxa"/>
            <w:vAlign w:val="bottom"/>
            <w:shd w:val="clear" w:color="auto" w:fill="CCEEFF"/>
          </w:tcPr>
          <w:p>
            <w:pPr>
              <w:spacing w:after="0"/>
              <w:rPr>
                <w:sz w:val="14"/>
                <w:szCs w:val="14"/>
                <w:color w:val="auto"/>
              </w:rPr>
            </w:pPr>
          </w:p>
        </w:tc>
        <w:tc>
          <w:tcPr>
            <w:tcW w:w="61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Flash R&amp;D and administrative</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gridSpan w:val="2"/>
          </w:tcPr>
          <w:p>
            <w:pPr>
              <w:ind w:left="20"/>
              <w:spacing w:after="0"/>
              <w:rPr>
                <w:sz w:val="20"/>
                <w:szCs w:val="20"/>
                <w:color w:val="auto"/>
              </w:rPr>
            </w:pPr>
            <w:r>
              <w:rPr>
                <w:rFonts w:ascii="Arial" w:cs="Arial" w:eastAsia="Arial" w:hAnsi="Arial"/>
                <w:sz w:val="16"/>
                <w:szCs w:val="16"/>
                <w:b w:val="1"/>
                <w:bCs w:val="1"/>
                <w:color w:val="auto"/>
              </w:rPr>
              <w:t>Middle East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Israel</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40" w:type="dxa"/>
            <w:vAlign w:val="bottom"/>
            <w:gridSpan w:val="2"/>
          </w:tcPr>
          <w:p>
            <w:pPr>
              <w:ind w:left="680"/>
              <w:spacing w:after="0"/>
              <w:rPr>
                <w:sz w:val="20"/>
                <w:szCs w:val="20"/>
                <w:color w:val="auto"/>
              </w:rPr>
            </w:pPr>
            <w:r>
              <w:rPr>
                <w:rFonts w:ascii="Arial" w:cs="Arial" w:eastAsia="Arial" w:hAnsi="Arial"/>
                <w:sz w:val="16"/>
                <w:szCs w:val="16"/>
                <w:color w:val="auto"/>
              </w:rPr>
              <w:t>Kfar Saba</w:t>
            </w: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Owned</w:t>
            </w:r>
          </w:p>
        </w:tc>
        <w:tc>
          <w:tcPr>
            <w:tcW w:w="1140" w:type="dxa"/>
            <w:vAlign w:val="bottom"/>
          </w:tcPr>
          <w:p>
            <w:pPr>
              <w:jc w:val="right"/>
              <w:spacing w:after="0"/>
              <w:rPr>
                <w:sz w:val="20"/>
                <w:szCs w:val="20"/>
                <w:color w:val="auto"/>
              </w:rPr>
            </w:pPr>
            <w:r>
              <w:rPr>
                <w:rFonts w:ascii="Arial" w:cs="Arial" w:eastAsia="Arial" w:hAnsi="Arial"/>
                <w:sz w:val="16"/>
                <w:szCs w:val="16"/>
                <w:color w:val="auto"/>
              </w:rPr>
              <w:t>167,000</w:t>
            </w:r>
          </w:p>
        </w:tc>
        <w:tc>
          <w:tcPr>
            <w:tcW w:w="1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Arial" w:cs="Arial" w:eastAsia="Arial" w:hAnsi="Arial"/>
                <w:sz w:val="16"/>
                <w:szCs w:val="16"/>
                <w:color w:val="auto"/>
              </w:rPr>
              <w:t>Flash R&amp;D</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Tefen</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72,000</w:t>
            </w: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Flash R&amp;D</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also lease office space in various other locations throughout the world primarily for R&amp;D, sales, operations, manufacturing, administration and technical support. We believe our present facilities are adequate for our current needs, although we update our facilities from time to time to meet anticipated future technological and market requirements. In general, new manufacturing facilities can be developed and become operational within approximately 12 to 24 months should we require such additional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Substantially all of our flash-based memory wafers are manufactured by Kioxia in purpose-built, wafer fabrication facilities located in Yokkaichi and Kitakami, Japan.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43" w:lineRule="exact"/>
        <w:rPr>
          <w:sz w:val="20"/>
          <w:szCs w:val="20"/>
          <w:color w:val="auto"/>
        </w:rPr>
      </w:pPr>
    </w:p>
    <w:p>
      <w:pPr>
        <w:ind w:firstLine="324"/>
        <w:spacing w:after="0" w:line="262" w:lineRule="auto"/>
        <w:rPr>
          <w:sz w:val="20"/>
          <w:szCs w:val="20"/>
          <w:color w:val="auto"/>
        </w:rPr>
      </w:pPr>
      <w:r>
        <w:rPr>
          <w:rFonts w:ascii="Arial" w:cs="Arial" w:eastAsia="Arial" w:hAnsi="Arial"/>
          <w:sz w:val="17"/>
          <w:szCs w:val="17"/>
          <w:color w:val="auto"/>
        </w:rPr>
        <w:t xml:space="preserve">See Part II, Item 8, Note 14, </w:t>
      </w:r>
      <w:r>
        <w:rPr>
          <w:rFonts w:ascii="Arial" w:cs="Arial" w:eastAsia="Arial" w:hAnsi="Arial"/>
          <w:sz w:val="17"/>
          <w:szCs w:val="17"/>
          <w:i w:val="1"/>
          <w:iCs w:val="1"/>
          <w:color w:val="auto"/>
        </w:rPr>
        <w:t>Income Tax Expense</w:t>
      </w:r>
      <w:r>
        <w:rPr>
          <w:rFonts w:ascii="Arial" w:cs="Arial" w:eastAsia="Arial" w:hAnsi="Arial"/>
          <w:sz w:val="17"/>
          <w:szCs w:val="17"/>
          <w:color w:val="auto"/>
        </w:rPr>
        <w:t>, of the Notes to Consolidated Financial Statements included in this Annual Report on Form 10-K for disclosures regarding statutory notices of deficiency issued by the Internal Revenue Service (“IRS”) in June 2018 and December 2018, petitions filed by the Company with the U.S. Tax Court in September 2018 and March 2019, additional penalties asserted by the IRS in March 2021 and further Amendments to Answers filed by the IRS in June 2021 and January 2022, and a tentative resolution with respect to such matters.</w:t>
      </w:r>
    </w:p>
    <w:p>
      <w:pPr>
        <w:spacing w:after="0" w:line="2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“WDC.” The approximate number of holders of record of our common stock as of August 4, 2023 was 855.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 xml:space="preserve">In April 2020, we suspended our quarterly cash dividend. For more information about our dividend policy. see Part II, Item 7,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 - Short- and Long-term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graph compares the cumulative total stockholder return of our common stock with the cumulative total return of the S&amp;P 500 Index and the Dow Jones U.S. Technology Hardware &amp; Equipment Index for the five years ended June 30, 2023. The graph assumes that $100 was invested in our common stock at the close of market on June 29, 2018 and that all dividends were reinvested. Stockholder returns over the indicated period should not be considered indicative of future stockholder returns.</w:t>
      </w:r>
    </w:p>
    <w:p>
      <w:pPr>
        <w:spacing w:after="0" w:line="2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TOTAL RETURN TO STOCKHOLDERS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(Assumes $100 investment at market close on June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5715</wp:posOffset>
            </wp:positionV>
            <wp:extent cx="5572125" cy="4286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2125" cy="428625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Analysis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4"/>
                <w:szCs w:val="14"/>
                <w:color w:val="auto"/>
              </w:rPr>
            </w:pPr>
          </w:p>
        </w:tc>
        <w:tc>
          <w:tcPr>
            <w:tcW w:w="760" w:type="dxa"/>
            <w:vAlign w:val="bottom"/>
          </w:tcPr>
          <w:p>
            <w:pPr>
              <w:jc w:val="right"/>
              <w:ind w:right="123"/>
              <w:spacing w:after="0"/>
              <w:rPr>
                <w:sz w:val="20"/>
                <w:szCs w:val="20"/>
                <w:color w:val="auto"/>
              </w:rPr>
            </w:pPr>
            <w:r>
              <w:rPr>
                <w:rFonts w:ascii="Arial" w:cs="Arial" w:eastAsia="Arial" w:hAnsi="Arial"/>
                <w:sz w:val="14"/>
                <w:szCs w:val="14"/>
                <w:b w:val="1"/>
                <w:bCs w:val="1"/>
                <w:color w:val="auto"/>
                <w:w w:val="96"/>
              </w:rPr>
              <w:t>June 30,</w:t>
            </w:r>
          </w:p>
        </w:tc>
      </w:tr>
      <w:tr>
        <w:trPr>
          <w:trHeight w:val="192"/>
        </w:trPr>
        <w:tc>
          <w:tcPr>
            <w:tcW w:w="5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2023</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Western Digital Corporation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110.42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118.70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167.13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149.39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178.66</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 Jones U.S. Technology Hardware &amp; Equipment Index</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324.28</w:t>
            </w:r>
          </w:p>
        </w:tc>
      </w:tr>
    </w:tbl>
    <w:p>
      <w:pPr>
        <w:spacing w:after="0" w:line="319"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Consolidated Financial Statements and the notes thereto included in Part II, Item 8 of this Annual Report on Form 10-K. See also “Forward-Looking Statements” immediately prior to Part I, Item 1 of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43" w:lineRule="exact"/>
        <w:rPr>
          <w:sz w:val="20"/>
          <w:szCs w:val="20"/>
          <w:color w:val="auto"/>
        </w:rPr>
      </w:pPr>
    </w:p>
    <w:p>
      <w:pPr>
        <w:ind w:right="200" w:firstLine="324"/>
        <w:spacing w:after="0" w:line="231" w:lineRule="auto"/>
        <w:rPr>
          <w:sz w:val="20"/>
          <w:szCs w:val="20"/>
          <w:color w:val="auto"/>
        </w:rPr>
      </w:pPr>
      <w:r>
        <w:rPr>
          <w:rFonts w:ascii="Arial" w:cs="Arial" w:eastAsia="Arial" w:hAnsi="Arial"/>
          <w:sz w:val="18"/>
          <w:szCs w:val="18"/>
          <w:color w:val="auto"/>
        </w:rPr>
        <w:t>We are on a mission to unlock the potential of data by harnessing the possibility to use it. We are a leading developer, manufacturer, and provider of data storage devices based on both NAND flash and hard disk drive technologies. With dedicated flash-based products (“Flash”) and hard disk drives (“HDD”) business units driving advancements in storage technologies, our broad and ever-expanding portfolio delivers powerful Flash and HDD storage solutions for everyone from students, gamers, and home offices to the largest enterprises and public clouds to capture, preserve, access, and transform an ever-increasing diversity of data.</w:t>
      </w:r>
    </w:p>
    <w:p>
      <w:pPr>
        <w:spacing w:after="0" w:line="21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broad portfolio of technology and products address our multiple end markets: “Cloud”, “Client” and “Consumer”. Cloud represents a large and growing end market comprised primarily of products for public or private cloud environments and enterprise customers, which we believe we are uniquely positioned to address as the only provider of both Flash and HDD. Through the Client end market, we provide our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191"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five to six years, we report a 53-week fiscal year to align the fiscal year with the foregoing policy. Fiscal years 2023, 2022, and 2021, which ended on June 30, 2023, July 1, 2022, and July 2, 2021, respectively, each comprised 52 weeks, with all quarters presented consisting of 13 weeks.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Network Security Incident</w:t>
      </w:r>
    </w:p>
    <w:p>
      <w:pPr>
        <w:spacing w:after="0" w:line="239" w:lineRule="exact"/>
        <w:rPr>
          <w:sz w:val="20"/>
          <w:szCs w:val="20"/>
          <w:color w:val="auto"/>
        </w:rPr>
      </w:pPr>
    </w:p>
    <w:p>
      <w:pPr>
        <w:ind w:firstLine="324"/>
        <w:spacing w:after="0" w:line="252" w:lineRule="auto"/>
        <w:rPr>
          <w:sz w:val="20"/>
          <w:szCs w:val="20"/>
          <w:color w:val="auto"/>
        </w:rPr>
      </w:pPr>
      <w:r>
        <w:rPr>
          <w:rFonts w:ascii="Arial" w:cs="Arial" w:eastAsia="Arial" w:hAnsi="Arial"/>
          <w:sz w:val="17"/>
          <w:szCs w:val="17"/>
          <w:color w:val="auto"/>
        </w:rPr>
        <w:t>As previously disclosed, on March 26, 2023, we identified a network security incident in which an unauthorized third party gained access to a number of our systems. Upon discovery of the incident, we implemented incident response efforts, which included taking various systems and services offline as a proactive measure to secure our business operations and initiating an investigation with the assistance of leading outside security and forensic experts. In collaboration with outside forensic experts, we confirmed that an unauthorized party obtained a copy of a Western Digital database used for our online store that contained some personal information of our online store customers. This information included customer names, billing and shipping addresses, email addresses and telephone numbers. In addition, the database contained, in encrypted format, hashed and salted passwords and partial credit card numbers. We have provided notifications to impacted customers and relevant governmental authorities.</w:t>
      </w:r>
    </w:p>
    <w:p>
      <w:pPr>
        <w:spacing w:after="0" w:line="210" w:lineRule="exact"/>
        <w:rPr>
          <w:sz w:val="20"/>
          <w:szCs w:val="20"/>
          <w:color w:val="auto"/>
        </w:rPr>
      </w:pPr>
    </w:p>
    <w:p>
      <w:pPr>
        <w:ind w:right="660" w:firstLine="324"/>
        <w:spacing w:after="0" w:line="294" w:lineRule="auto"/>
        <w:rPr>
          <w:sz w:val="20"/>
          <w:szCs w:val="20"/>
          <w:color w:val="auto"/>
        </w:rPr>
      </w:pPr>
      <w:r>
        <w:rPr>
          <w:rFonts w:ascii="Arial" w:cs="Arial" w:eastAsia="Arial" w:hAnsi="Arial"/>
          <w:sz w:val="16"/>
          <w:szCs w:val="16"/>
          <w:color w:val="auto"/>
        </w:rPr>
        <w:t>The incident, together with the incident response efforts discussed above, resulted in some disruptions to our business operations, including manufacturing, sales, fulfillment and general corporate activities. We were able to stabilize core operations after a short period of time and brought impacted systems back online in order of operational priority. The incident did not have a material impact on the financial results in 2023.</w:t>
      </w:r>
    </w:p>
    <w:p>
      <w:pPr>
        <w:spacing w:after="0" w:line="174" w:lineRule="exact"/>
        <w:rPr>
          <w:sz w:val="20"/>
          <w:szCs w:val="20"/>
          <w:color w:val="auto"/>
        </w:rPr>
      </w:pPr>
    </w:p>
    <w:p>
      <w:pPr>
        <w:jc w:val="both"/>
        <w:ind w:right="220" w:firstLine="324"/>
        <w:spacing w:after="0" w:line="248" w:lineRule="auto"/>
        <w:rPr>
          <w:sz w:val="20"/>
          <w:szCs w:val="20"/>
          <w:color w:val="auto"/>
        </w:rPr>
      </w:pPr>
      <w:r>
        <w:rPr>
          <w:rFonts w:ascii="Arial" w:cs="Arial" w:eastAsia="Arial" w:hAnsi="Arial"/>
          <w:sz w:val="18"/>
          <w:szCs w:val="18"/>
          <w:color w:val="auto"/>
        </w:rPr>
        <w:t>Investigation, recovery, and remediation expenses, including costs for forensics activities, third-party consulting and service providers, outside legal advisors, and other IT professionals, as a result of the network security incident were not material to the Consolidated Financial Statements. We maintain cyber insurance, subject to certain deductibles and policy limitations, typical for our size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Strategic Alternatives</w:t>
      </w:r>
    </w:p>
    <w:p>
      <w:pPr>
        <w:spacing w:after="0" w:line="239" w:lineRule="exact"/>
        <w:rPr>
          <w:sz w:val="20"/>
          <w:szCs w:val="20"/>
          <w:color w:val="auto"/>
        </w:rPr>
      </w:pPr>
    </w:p>
    <w:p>
      <w:pPr>
        <w:ind w:right="260" w:firstLine="324"/>
        <w:spacing w:after="0" w:line="243" w:lineRule="auto"/>
        <w:rPr>
          <w:sz w:val="20"/>
          <w:szCs w:val="20"/>
          <w:color w:val="auto"/>
        </w:rPr>
      </w:pPr>
      <w:r>
        <w:rPr>
          <w:rFonts w:ascii="Arial" w:cs="Arial" w:eastAsia="Arial" w:hAnsi="Arial"/>
          <w:sz w:val="18"/>
          <w:szCs w:val="18"/>
          <w:color w:val="auto"/>
        </w:rPr>
        <w:t>In June 2022, we announced that we are reviewing potential strategic alternatives aimed at further optimizing long-term value for stockholders. The Executive Committee of our Board of Directors is overseeing the assessment process and evaluating a range of alternatives, including options for separating our Flash and HDD business units. As of June 30, 2023, we are still actively working with financial advisors and our legal counsel in this strategic review process.</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 Resolution</w:t>
      </w:r>
    </w:p>
    <w:p>
      <w:pPr>
        <w:spacing w:after="0" w:line="239" w:lineRule="exact"/>
        <w:rPr>
          <w:sz w:val="20"/>
          <w:szCs w:val="20"/>
          <w:color w:val="auto"/>
        </w:rPr>
      </w:pPr>
    </w:p>
    <w:p>
      <w:pPr>
        <w:ind w:right="140" w:firstLine="324"/>
        <w:spacing w:after="0" w:line="274" w:lineRule="auto"/>
        <w:rPr>
          <w:sz w:val="20"/>
          <w:szCs w:val="20"/>
          <w:color w:val="auto"/>
        </w:rPr>
      </w:pPr>
      <w:r>
        <w:rPr>
          <w:rFonts w:ascii="Arial" w:cs="Arial" w:eastAsia="Arial" w:hAnsi="Arial"/>
          <w:sz w:val="16"/>
          <w:szCs w:val="16"/>
          <w:color w:val="auto"/>
        </w:rPr>
        <w:t xml:space="preserve">As disclosed in previous periods, we have received statutory notices of deficiency and notices of proposed adjustments from the Internal Revenue Service (“IRS”) with respect to 2008 through 2015. During the third quarter of 2023, we and the IRS reached an agreement on the federal tax and interest calculations with respect to the years 2008 through 2012 and a tentative settlement for the years 2013 through 2015. Additional information is provided in our discussion of Income tax expense in our results of operations below, as well as in Part II, Item 8, Note 14,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of the Notes to the Consolidated Financial Statements, and in the “Short- and Long-Term Liquidity </w:t>
      </w:r>
      <w:r>
        <w:rPr>
          <w:rFonts w:ascii="Arial" w:cs="Arial" w:eastAsia="Arial" w:hAnsi="Arial"/>
          <w:sz w:val="16"/>
          <w:szCs w:val="16"/>
          <w:b w:val="1"/>
          <w:bCs w:val="1"/>
          <w:color w:val="auto"/>
        </w:rPr>
        <w:t>-</w:t>
      </w:r>
      <w:r>
        <w:rPr>
          <w:rFonts w:ascii="Arial" w:cs="Arial" w:eastAsia="Arial" w:hAnsi="Arial"/>
          <w:sz w:val="16"/>
          <w:szCs w:val="16"/>
          <w:color w:val="auto"/>
        </w:rPr>
        <w:t xml:space="preserve"> Unrecognized Tax Benefits” section below.</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9" w:lineRule="exact"/>
        <w:rPr>
          <w:sz w:val="20"/>
          <w:szCs w:val="20"/>
          <w:color w:val="auto"/>
        </w:rPr>
      </w:pPr>
    </w:p>
    <w:p>
      <w:pPr>
        <w:ind w:right="80" w:firstLine="324"/>
        <w:spacing w:after="0" w:line="262" w:lineRule="auto"/>
        <w:rPr>
          <w:sz w:val="20"/>
          <w:szCs w:val="20"/>
          <w:color w:val="auto"/>
        </w:rPr>
      </w:pPr>
      <w:r>
        <w:rPr>
          <w:rFonts w:ascii="Arial" w:cs="Arial" w:eastAsia="Arial" w:hAnsi="Arial"/>
          <w:sz w:val="17"/>
          <w:szCs w:val="17"/>
          <w:color w:val="auto"/>
        </w:rPr>
        <w:t>In December 2022 and in June 2023, we amended the loan agreement governing our Term Loan A-2 and revolving credit facility to provide additional financial flexibility as we navigate through the current dynamic economic environment. The amendments modified our financial covenant requirements, including modifying the leverage ratio requirements, and introducing a minimum liquidity covenant applicable through the quarter ending September 27, 2024 and a minimum free cash flow requirement applicable through the quarter ending December 29, 2023.</w:t>
      </w:r>
    </w:p>
    <w:p>
      <w:pPr>
        <w:spacing w:after="0" w:line="199"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amendment also accelerates the due date for amounts outstanding under the loan agreement from January 7, 2027 to November 2, 2023 if, as of that date, our cash and cash equivalents plus available unused capacity under our credit facilities do not exceed by $1.40 billion the sum of the outstanding balance of our 1.50% convertible notes due 2024 plus the outstanding principal amount of any other debt maturing within twelve months.</w:t>
      </w:r>
    </w:p>
    <w:p>
      <w:pPr>
        <w:spacing w:after="0" w:line="174" w:lineRule="exact"/>
        <w:rPr>
          <w:sz w:val="20"/>
          <w:szCs w:val="20"/>
          <w:color w:val="auto"/>
        </w:rPr>
      </w:pPr>
    </w:p>
    <w:p>
      <w:pPr>
        <w:ind w:right="100" w:firstLine="324"/>
        <w:spacing w:after="0" w:line="238" w:lineRule="auto"/>
        <w:rPr>
          <w:sz w:val="20"/>
          <w:szCs w:val="20"/>
          <w:color w:val="auto"/>
        </w:rPr>
      </w:pPr>
      <w:r>
        <w:rPr>
          <w:rFonts w:ascii="Arial" w:cs="Arial" w:eastAsia="Arial" w:hAnsi="Arial"/>
          <w:sz w:val="18"/>
          <w:szCs w:val="18"/>
          <w:color w:val="auto"/>
        </w:rPr>
        <w:t>In January 2023, we entered into a new delayed draw term loan agreement, which was then amended in June 2023. As amended, the agreement allowed us to draw a loan of up to $600 million which we exercised in full in August 2023 (the “Delayed Draw Term Loan”). Borrowings on this loan will mature on June 28, 2024 or such earlier date that conditions for acceleration of amounts due under the loan agreement governing our Term Loan A-2 and revolving credit facility have been triggered as described above.</w:t>
      </w:r>
    </w:p>
    <w:p>
      <w:pPr>
        <w:spacing w:after="0" w:line="218"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Also in January, 2023, we issued an aggregate of 900,000 shares of Series A Preferred Stock for an aggregate purchase price of $900 million. We believe these transactions will provide us with greater financial flexibility to manage our business.</w:t>
      </w:r>
    </w:p>
    <w:p>
      <w:pPr>
        <w:spacing w:after="0" w:line="19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 xml:space="preserve">Additional information regarding our indebtedness, including the principal repayment terms, interest rates, covenants and other key terms of our outstanding indebtedness, and additional information on the terms of our convertible preferred shares is included in Part II, Item 8, Note 8, </w:t>
      </w:r>
      <w:r>
        <w:rPr>
          <w:rFonts w:ascii="Arial" w:cs="Arial" w:eastAsia="Arial" w:hAnsi="Arial"/>
          <w:sz w:val="16"/>
          <w:szCs w:val="16"/>
          <w:i w:val="1"/>
          <w:iCs w:val="1"/>
          <w:color w:val="auto"/>
        </w:rPr>
        <w:t>Debt</w:t>
      </w:r>
      <w:r>
        <w:rPr>
          <w:rFonts w:ascii="Arial" w:cs="Arial" w:eastAsia="Arial" w:hAnsi="Arial"/>
          <w:sz w:val="16"/>
          <w:szCs w:val="16"/>
          <w:color w:val="auto"/>
        </w:rPr>
        <w:t xml:space="preserve">, and Note 13, </w:t>
      </w:r>
      <w:r>
        <w:rPr>
          <w:rFonts w:ascii="Arial" w:cs="Arial" w:eastAsia="Arial" w:hAnsi="Arial"/>
          <w:sz w:val="16"/>
          <w:szCs w:val="16"/>
          <w:i w:val="1"/>
          <w:iCs w:val="1"/>
          <w:color w:val="auto"/>
        </w:rPr>
        <w:t>Shareholders’ Equity and Convertible Preferred Stock</w:t>
      </w:r>
      <w:r>
        <w:rPr>
          <w:rFonts w:ascii="Arial" w:cs="Arial" w:eastAsia="Arial" w:hAnsi="Arial"/>
          <w:sz w:val="16"/>
          <w:szCs w:val="16"/>
          <w:color w:val="auto"/>
        </w:rPr>
        <w:t>, of the Notes to Consolidated Financial Statements in this Annual Report on Form 10-K.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Operational Update</w:t>
      </w:r>
    </w:p>
    <w:p>
      <w:pPr>
        <w:spacing w:after="0" w:line="239"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Macroeconomic factors such as inflation, higher interest rates and recession concerns have softened demand for our products, with certain customers reducing purchases as they adjust their production levels and right-size their inventories. As a result, we and our industry are experiencing a supply-demand imbalance, which has resulted in reduced shipments and negatively impacted pricing, particularly in Flash. While supply-demand imbalance has somewhat stabilized beginning in the third quarter of 2023, particularly in Client and Consumer, we continue to face a dynamic market environment. To adapt to these conditions, since the beginning of 2023, we have scaled back on capital expenditures, consolidated production lines and reduced bit growth to align with market demand and implemented measures to reduce operating expenses. This has resulted in incremental charges for employee termination, asset impairment and other charges and manufacturing underutilization charges in Flash and HDD in 2023, and is expected to impact near-term results. However, we believe digital transformation will continue to drive long-term growth for data storage in both Flash and HDD and believe that the actions we are taking will position us to capitalize on market conditions when they improve to address long-term growth opportunities in data storage across all our end markets.</w:t>
      </w:r>
    </w:p>
    <w:p>
      <w:pPr>
        <w:spacing w:after="0" w:line="196"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will continue to actively monitor developments impacting our business and may take additional responsive actions that we determine to be in the best interest of our business and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We believe we have made significant progress in strengthening our product portfolio to meet our customers’ growing and evolving storage needs. Our new industry-leading 22-terabyte conventional magnetic recording drives and 26-terabyte shingled magnetic recording drives, utilizing OptiNAND technology, have commenced commercial shipments. We also have commenced product sampling of our latest 28-terabyte Ultra SMR drive, which built upon proven ePMR and UltraSMR technology, with full feature and performance compatibility, as well as the reliability trusted by our customers worldwide. During 2023, we announced BiCS8 node, the newest 3D-flash memory technology based on a chip-bonded-to-array architecture.</w:t>
      </w:r>
    </w:p>
    <w:p>
      <w:pPr>
        <w:spacing w:after="0" w:line="20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 for more information regarding the risks we face as a result of macroeconomic conditions, and supply chain disruptions.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Summary Comparison of 2023, 2022 and 2021</w:t>
      </w:r>
    </w:p>
    <w:p>
      <w:pPr>
        <w:spacing w:after="0" w:line="252"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The following table sets forth, for the periods presented, selected summary information from our Consolidated Statements of Operations by dollars and percentage of net revenue</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r>
      <w:tr>
        <w:trPr>
          <w:trHeight w:val="180"/>
        </w:trPr>
        <w:tc>
          <w:tcPr>
            <w:tcW w:w="2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3"/>
          </w:tcPr>
          <w:p>
            <w:pPr>
              <w:jc w:val="center"/>
              <w:ind w:right="139"/>
              <w:spacing w:after="0"/>
              <w:rPr>
                <w:sz w:val="20"/>
                <w:szCs w:val="20"/>
                <w:color w:val="auto"/>
              </w:rPr>
            </w:pPr>
            <w:r>
              <w:rPr>
                <w:rFonts w:ascii="Arial" w:cs="Arial" w:eastAsia="Arial" w:hAnsi="Arial"/>
                <w:sz w:val="14"/>
                <w:szCs w:val="14"/>
                <w:i w:val="1"/>
                <w:iCs w:val="1"/>
                <w:color w:val="auto"/>
                <w:w w:val="92"/>
              </w:rPr>
              <w:t>(in millions, except percentages)</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12,318</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18,793</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16,922</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10,431</w:t>
            </w: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84.7</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12,919</w:t>
            </w: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68.7</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12,401</w:t>
            </w: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73.3</w:t>
            </w:r>
          </w:p>
        </w:tc>
      </w:tr>
      <w:tr>
        <w:trPr>
          <w:trHeight w:val="212"/>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31.3</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26.7</w:t>
            </w:r>
          </w:p>
        </w:tc>
      </w:tr>
      <w:tr>
        <w:trPr>
          <w:trHeight w:val="193"/>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12.4</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w:t>
            </w:r>
          </w:p>
        </w:tc>
      </w:tr>
      <w:tr>
        <w:trPr>
          <w:trHeight w:val="213"/>
        </w:trPr>
        <w:tc>
          <w:tcPr>
            <w:tcW w:w="4500" w:type="dxa"/>
            <w:vAlign w:val="bottom"/>
            <w:gridSpan w:val="2"/>
          </w:tcPr>
          <w:p>
            <w:pPr>
              <w:ind w:left="14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970</w:t>
            </w:r>
          </w:p>
        </w:tc>
        <w:tc>
          <w:tcPr>
            <w:tcW w:w="340" w:type="dxa"/>
            <w:vAlign w:val="bottom"/>
          </w:tcPr>
          <w:p>
            <w:pPr>
              <w:spacing w:after="0"/>
              <w:rPr>
                <w:sz w:val="18"/>
                <w:szCs w:val="18"/>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1,117</w:t>
            </w:r>
          </w:p>
        </w:tc>
        <w:tc>
          <w:tcPr>
            <w:tcW w:w="340" w:type="dxa"/>
            <w:vAlign w:val="bottom"/>
          </w:tcPr>
          <w:p>
            <w:pPr>
              <w:spacing w:after="0"/>
              <w:rPr>
                <w:sz w:val="18"/>
                <w:szCs w:val="18"/>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5.9</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1,105</w:t>
            </w:r>
          </w:p>
        </w:tc>
        <w:tc>
          <w:tcPr>
            <w:tcW w:w="3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6.5</w:t>
            </w:r>
          </w:p>
        </w:tc>
      </w:tr>
      <w:tr>
        <w:trPr>
          <w:trHeight w:val="219"/>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0.2</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r>
      <w:tr>
        <w:trPr>
          <w:trHeight w:val="207"/>
        </w:trPr>
        <w:tc>
          <w:tcPr>
            <w:tcW w:w="4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w:t>
            </w: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3,483</w:t>
            </w: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18.5</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3,301</w:t>
            </w:r>
          </w:p>
        </w:tc>
        <w:tc>
          <w:tcPr>
            <w:tcW w:w="3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19.5</w:t>
            </w:r>
          </w:p>
        </w:tc>
      </w:tr>
      <w:tr>
        <w:trPr>
          <w:trHeight w:val="21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12.7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w:t>
            </w:r>
          </w:p>
        </w:tc>
      </w:tr>
      <w:tr>
        <w:trPr>
          <w:trHeight w:val="213"/>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Interest and other income:</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4500" w:type="dxa"/>
            <w:vAlign w:val="bottom"/>
            <w:gridSpan w:val="2"/>
          </w:tcPr>
          <w:p>
            <w:pPr>
              <w:ind w:left="1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(312)</w:t>
            </w:r>
          </w:p>
        </w:tc>
        <w:tc>
          <w:tcPr>
            <w:tcW w:w="340" w:type="dxa"/>
            <w:vAlign w:val="bottom"/>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w:t>
            </w:r>
          </w:p>
        </w:tc>
        <w:tc>
          <w:tcPr>
            <w:tcW w:w="340" w:type="dxa"/>
            <w:vAlign w:val="bottom"/>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(326)</w:t>
            </w:r>
          </w:p>
        </w:tc>
        <w:tc>
          <w:tcPr>
            <w:tcW w:w="34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219"/>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0.2</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r>
      <w:tr>
        <w:trPr>
          <w:trHeight w:val="206"/>
        </w:trPr>
        <w:tc>
          <w:tcPr>
            <w:tcW w:w="4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interest and other income, net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rPr>
              <w:t>(1.4)</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3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(1.7)</w:t>
            </w:r>
          </w:p>
        </w:tc>
      </w:tr>
      <w:tr>
        <w:trPr>
          <w:trHeight w:val="21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w:t>
            </w:r>
          </w:p>
        </w:tc>
      </w:tr>
      <w:tr>
        <w:trPr>
          <w:trHeight w:val="213"/>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3.3</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0.6</w:t>
            </w:r>
          </w:p>
        </w:tc>
      </w:tr>
      <w:tr>
        <w:trPr>
          <w:trHeight w:val="21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r>
      <w:tr>
        <w:trPr>
          <w:trHeight w:val="206"/>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Less: cumulative dividends allocated to preferred shareholders</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38"/>
        </w:trPr>
        <w:tc>
          <w:tcPr>
            <w:tcW w:w="4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shareholders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8.0 %</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73"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Percentage may not total due to rounding.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presented, a summary of our segment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40" w:type="dxa"/>
            <w:vAlign w:val="bottom"/>
            <w:gridSpan w:val="9"/>
          </w:tcPr>
          <w:p>
            <w:pPr>
              <w:jc w:val="center"/>
              <w:ind w:left="139"/>
              <w:spacing w:after="0"/>
              <w:rPr>
                <w:sz w:val="20"/>
                <w:szCs w:val="20"/>
                <w:color w:val="auto"/>
              </w:rPr>
            </w:pPr>
            <w:r>
              <w:rPr>
                <w:rFonts w:ascii="Arial" w:cs="Arial" w:eastAsia="Arial" w:hAnsi="Arial"/>
                <w:sz w:val="14"/>
                <w:szCs w:val="14"/>
                <w:i w:val="1"/>
                <w:iCs w:val="1"/>
                <w:color w:val="auto"/>
                <w:w w:val="93"/>
              </w:rPr>
              <w:t>(in millions, except percentages)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tcPr>
          <w:p>
            <w:pPr>
              <w:ind w:left="140"/>
              <w:spacing w:after="0"/>
              <w:rPr>
                <w:sz w:val="20"/>
                <w:szCs w:val="20"/>
                <w:color w:val="auto"/>
              </w:rPr>
            </w:pPr>
            <w:r>
              <w:rPr>
                <w:rFonts w:ascii="Arial" w:cs="Arial" w:eastAsia="Arial" w:hAnsi="Arial"/>
                <w:sz w:val="16"/>
                <w:szCs w:val="16"/>
                <w:color w:val="auto"/>
              </w:rPr>
              <w:t>Flash</w:t>
            </w:r>
          </w:p>
        </w:tc>
        <w:tc>
          <w:tcPr>
            <w:tcW w:w="88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6,063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9,753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8,706</w:t>
            </w:r>
          </w:p>
        </w:tc>
        <w:tc>
          <w:tcPr>
            <w:tcW w:w="0" w:type="dxa"/>
            <w:vAlign w:val="bottom"/>
          </w:tcPr>
          <w:p>
            <w:pPr>
              <w:spacing w:after="0"/>
              <w:rPr>
                <w:sz w:val="1"/>
                <w:szCs w:val="1"/>
                <w:color w:val="auto"/>
              </w:rPr>
            </w:pPr>
          </w:p>
        </w:tc>
      </w:tr>
      <w:tr>
        <w:trPr>
          <w:trHeight w:val="233"/>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HDD</w:t>
            </w:r>
          </w:p>
        </w:tc>
        <w:tc>
          <w:tcPr>
            <w:tcW w:w="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6,255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9,040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8,216</w:t>
            </w:r>
          </w:p>
        </w:tc>
        <w:tc>
          <w:tcPr>
            <w:tcW w:w="0" w:type="dxa"/>
            <w:vAlign w:val="bottom"/>
          </w:tcPr>
          <w:p>
            <w:pPr>
              <w:spacing w:after="0"/>
              <w:rPr>
                <w:sz w:val="1"/>
                <w:szCs w:val="1"/>
                <w:color w:val="auto"/>
              </w:rPr>
            </w:pPr>
          </w:p>
        </w:tc>
      </w:tr>
      <w:tr>
        <w:trPr>
          <w:trHeight w:val="217"/>
        </w:trPr>
        <w:tc>
          <w:tcPr>
            <w:tcW w:w="6740" w:type="dxa"/>
            <w:vAlign w:val="bottom"/>
          </w:tcPr>
          <w:p>
            <w:pPr>
              <w:ind w:left="240"/>
              <w:spacing w:after="0"/>
              <w:rPr>
                <w:sz w:val="20"/>
                <w:szCs w:val="20"/>
                <w:color w:val="auto"/>
              </w:rPr>
            </w:pPr>
            <w:r>
              <w:rPr>
                <w:rFonts w:ascii="Arial" w:cs="Arial" w:eastAsia="Arial" w:hAnsi="Arial"/>
                <w:sz w:val="16"/>
                <w:szCs w:val="16"/>
                <w:color w:val="auto"/>
              </w:rPr>
              <w:t>Total net revenue</w:t>
            </w:r>
          </w:p>
        </w:tc>
        <w:tc>
          <w:tcPr>
            <w:tcW w:w="88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w w:val="85"/>
              </w:rPr>
              <w:t>12,318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18,793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16,922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40" w:type="dxa"/>
            <w:vAlign w:val="bottom"/>
          </w:tcPr>
          <w:p>
            <w:pPr>
              <w:ind w:left="140"/>
              <w:spacing w:after="0"/>
              <w:rPr>
                <w:sz w:val="20"/>
                <w:szCs w:val="20"/>
                <w:color w:val="auto"/>
              </w:rPr>
            </w:pPr>
            <w:r>
              <w:rPr>
                <w:rFonts w:ascii="Arial" w:cs="Arial" w:eastAsia="Arial" w:hAnsi="Arial"/>
                <w:sz w:val="16"/>
                <w:szCs w:val="16"/>
                <w:color w:val="auto"/>
              </w:rPr>
              <w:t>Flash</w:t>
            </w:r>
          </w:p>
        </w:tc>
        <w:tc>
          <w:tcPr>
            <w:tcW w:w="88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3,527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232"/>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HDD</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2,661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2,221</w:t>
            </w:r>
          </w:p>
        </w:tc>
        <w:tc>
          <w:tcPr>
            <w:tcW w:w="0" w:type="dxa"/>
            <w:vAlign w:val="bottom"/>
          </w:tcPr>
          <w:p>
            <w:pPr>
              <w:spacing w:after="0"/>
              <w:rPr>
                <w:sz w:val="1"/>
                <w:szCs w:val="1"/>
                <w:color w:val="auto"/>
              </w:rPr>
            </w:pPr>
          </w:p>
        </w:tc>
      </w:tr>
      <w:tr>
        <w:trPr>
          <w:trHeight w:val="220"/>
        </w:trPr>
        <w:tc>
          <w:tcPr>
            <w:tcW w:w="6740" w:type="dxa"/>
            <w:vAlign w:val="bottom"/>
          </w:tcPr>
          <w:p>
            <w:pPr>
              <w:ind w:left="140"/>
              <w:spacing w:after="0"/>
              <w:rPr>
                <w:sz w:val="20"/>
                <w:szCs w:val="20"/>
                <w:color w:val="auto"/>
              </w:rPr>
            </w:pPr>
            <w:r>
              <w:rPr>
                <w:rFonts w:ascii="Arial" w:cs="Arial" w:eastAsia="Arial" w:hAnsi="Arial"/>
                <w:sz w:val="16"/>
                <w:szCs w:val="16"/>
                <w:color w:val="auto"/>
              </w:rPr>
              <w:t>Unallocated corporate items:</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7"/>
        </w:trPr>
        <w:tc>
          <w:tcPr>
            <w:tcW w:w="6740" w:type="dxa"/>
            <w:vAlign w:val="bottom"/>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33"/>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Contamination related charges</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40" w:type="dxa"/>
            <w:vAlign w:val="bottom"/>
          </w:tcPr>
          <w:p>
            <w:pPr>
              <w:ind w:left="240"/>
              <w:spacing w:after="0"/>
              <w:rPr>
                <w:sz w:val="20"/>
                <w:szCs w:val="20"/>
                <w:color w:val="auto"/>
              </w:rPr>
            </w:pPr>
            <w:r>
              <w:rPr>
                <w:rFonts w:ascii="Arial" w:cs="Arial" w:eastAsia="Arial" w:hAnsi="Arial"/>
                <w:sz w:val="16"/>
                <w:szCs w:val="16"/>
                <w:color w:val="auto"/>
              </w:rPr>
              <w:t>Recoveries from a power outage incident</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2"/>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unallocated corporate items</w:t>
            </w:r>
          </w:p>
        </w:tc>
        <w:tc>
          <w:tcPr>
            <w:tcW w:w="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Consolidated gross profit</w:t>
            </w:r>
          </w:p>
        </w:tc>
        <w:tc>
          <w:tcPr>
            <w:tcW w:w="88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5,874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4,521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margin:</w:t>
            </w: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Flash</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20"/>
        </w:trPr>
        <w:tc>
          <w:tcPr>
            <w:tcW w:w="6740" w:type="dxa"/>
            <w:vAlign w:val="bottom"/>
          </w:tcPr>
          <w:p>
            <w:pPr>
              <w:ind w:left="140"/>
              <w:spacing w:after="0"/>
              <w:rPr>
                <w:sz w:val="20"/>
                <w:szCs w:val="20"/>
                <w:color w:val="auto"/>
              </w:rPr>
            </w:pPr>
            <w:r>
              <w:rPr>
                <w:rFonts w:ascii="Arial" w:cs="Arial" w:eastAsia="Arial" w:hAnsi="Arial"/>
                <w:sz w:val="16"/>
                <w:szCs w:val="16"/>
                <w:color w:val="auto"/>
              </w:rPr>
              <w:t>HDD</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w w:val="92"/>
              </w:rPr>
              <w:t>24.1%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3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gross margin</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2"/>
              </w:rPr>
              <w:t>15.3%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553"/>
        </w:trPr>
        <w:tc>
          <w:tcPr>
            <w:tcW w:w="9800" w:type="dxa"/>
            <w:vAlign w:val="bottom"/>
            <w:gridSpan w:val="11"/>
          </w:tcPr>
          <w:p>
            <w:pPr>
              <w:ind w:left="340"/>
              <w:spacing w:after="0"/>
              <w:rPr>
                <w:sz w:val="20"/>
                <w:szCs w:val="20"/>
                <w:color w:val="auto"/>
              </w:rPr>
            </w:pPr>
            <w:r>
              <w:rPr>
                <w:rFonts w:ascii="Arial" w:cs="Arial" w:eastAsia="Arial" w:hAnsi="Arial"/>
                <w:sz w:val="18"/>
                <w:szCs w:val="18"/>
                <w:color w:val="auto"/>
              </w:rPr>
              <w:t>The following table sets forth, for the periods presented, summary information regarding our disaggregated revenue:</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7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End Market</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Cloud</w:t>
            </w:r>
          </w:p>
        </w:tc>
        <w:tc>
          <w:tcPr>
            <w:tcW w:w="880" w:type="dxa"/>
            <w:vAlign w:val="bottom"/>
            <w:gridSpan w:val="2"/>
          </w:tcPr>
          <w:p>
            <w:pPr>
              <w:jc w:val="right"/>
              <w:ind w:right="78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5,252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5,723</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7,281</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3,918</w:t>
            </w:r>
          </w:p>
        </w:tc>
        <w:tc>
          <w:tcPr>
            <w:tcW w:w="0" w:type="dxa"/>
            <w:vAlign w:val="bottom"/>
          </w:tcPr>
          <w:p>
            <w:pPr>
              <w:spacing w:after="0"/>
              <w:rPr>
                <w:sz w:val="1"/>
                <w:szCs w:val="1"/>
                <w:color w:val="auto"/>
              </w:rPr>
            </w:pPr>
          </w:p>
        </w:tc>
      </w:tr>
      <w:tr>
        <w:trPr>
          <w:trHeight w:val="238"/>
        </w:trPr>
        <w:tc>
          <w:tcPr>
            <w:tcW w:w="6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880" w:type="dxa"/>
            <w:vAlign w:val="bottom"/>
            <w:tcBorders>
              <w:bottom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12,318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Geography</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Asia</w:t>
            </w:r>
          </w:p>
        </w:tc>
        <w:tc>
          <w:tcPr>
            <w:tcW w:w="880" w:type="dxa"/>
            <w:vAlign w:val="bottom"/>
            <w:gridSpan w:val="2"/>
          </w:tcPr>
          <w:p>
            <w:pPr>
              <w:jc w:val="right"/>
              <w:ind w:right="78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6,046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10,054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9,455</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Europe, Middle East and Africa</w:t>
            </w: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880" w:type="dxa"/>
            <w:vAlign w:val="bottom"/>
            <w:tcBorders>
              <w:bottom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12,318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Exabytes Shipped</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w:t>
      </w:r>
    </w:p>
    <w:p>
      <w:pPr>
        <w:spacing w:after="0" w:line="239"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Net revenue decreased 34% in 2023 compared to 2022, primarily reflecting the supply-demand imbalance and macroeconomic pressures described in the “Operational Update” above.</w:t>
      </w:r>
    </w:p>
    <w:p>
      <w:pPr>
        <w:spacing w:after="0" w:line="184" w:lineRule="exact"/>
        <w:rPr>
          <w:sz w:val="20"/>
          <w:szCs w:val="20"/>
          <w:color w:val="auto"/>
        </w:rPr>
      </w:pPr>
    </w:p>
    <w:p>
      <w:pPr>
        <w:ind w:right="200" w:firstLine="324"/>
        <w:spacing w:after="0" w:line="246" w:lineRule="auto"/>
        <w:rPr>
          <w:sz w:val="20"/>
          <w:szCs w:val="20"/>
          <w:color w:val="auto"/>
        </w:rPr>
      </w:pPr>
      <w:r>
        <w:rPr>
          <w:rFonts w:ascii="Arial" w:cs="Arial" w:eastAsia="Arial" w:hAnsi="Arial"/>
          <w:sz w:val="18"/>
          <w:szCs w:val="18"/>
          <w:color w:val="auto"/>
        </w:rPr>
        <w:t>Flash revenue decreased 38% in 2023 compared to 2022, substantially all driven by a decline in the average selling prices per gigabyte across all our end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firstLine="324"/>
        <w:spacing w:after="0"/>
        <w:rPr>
          <w:sz w:val="20"/>
          <w:szCs w:val="20"/>
          <w:color w:val="auto"/>
        </w:rPr>
      </w:pPr>
      <w:r>
        <w:rPr>
          <w:rFonts w:ascii="Arial" w:cs="Arial" w:eastAsia="Arial" w:hAnsi="Arial"/>
          <w:sz w:val="18"/>
          <w:szCs w:val="18"/>
          <w:color w:val="auto"/>
        </w:rPr>
        <w:t>HDD revenue decreased 31% in 2023, compared to 2022, primarily driven by an approximately 26% decrease in exabytes sold and a decline in the average selling prices. The decrease in exabytes sold was primarily driven by lower shipments to customers in our Cloud end market and to a lesser extent in Client and Consumer end markets.</w:t>
      </w:r>
    </w:p>
    <w:p>
      <w:pPr>
        <w:spacing w:after="0" w:line="203" w:lineRule="exact"/>
        <w:rPr>
          <w:sz w:val="20"/>
          <w:szCs w:val="20"/>
          <w:color w:val="auto"/>
        </w:rPr>
      </w:pPr>
    </w:p>
    <w:p>
      <w:pPr>
        <w:ind w:right="80" w:firstLine="324"/>
        <w:spacing w:after="0" w:line="272" w:lineRule="auto"/>
        <w:rPr>
          <w:sz w:val="20"/>
          <w:szCs w:val="20"/>
          <w:color w:val="auto"/>
        </w:rPr>
      </w:pPr>
      <w:r>
        <w:rPr>
          <w:rFonts w:ascii="Arial" w:cs="Arial" w:eastAsia="Arial" w:hAnsi="Arial"/>
          <w:sz w:val="16"/>
          <w:szCs w:val="16"/>
          <w:color w:val="auto"/>
        </w:rPr>
        <w:t>The 34% decrease in Cloud revenue in 2023 compared to 2022, reflects approximately 25 percentage points driven by a decline in HDD revenue as customers reduced purchases to right-size their inventories, and approximately 9 percentage points driven by a decline in Flash revenue resulting primarily from a decrease in shipments, as well as from lower average selling prices of our flash-based products. In Client, the 39% decrease in revenue in 2023 compared to 2022 reflects approximately 34 percentage points driven by a decline in Flash revenue due to pricing pressure across Flash and approximately 5 percentage points driven by a decline in HDD shipments. In Consumer, the 26% decrease in revenues in 2023 compared to 2022, was relatively evenly split between decreases in average selling price per gigabyte in Flash and a decline in retail HDD shipments.</w:t>
      </w:r>
    </w:p>
    <w:p>
      <w:pPr>
        <w:spacing w:after="0" w:line="207"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changes in net revenue by geography in 2023, compared to 2022, primarily reflect a larger decline in Asia from lower Client revenue from OEMs in this region as they reduced purchases to align with current market demand, as well as routine variations in the mix of business.</w:t>
      </w:r>
    </w:p>
    <w:p>
      <w:pPr>
        <w:spacing w:after="0" w:line="17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2023, 2022 and 2021, our top 10 customers accounted for 43%, 45% and 39%, respectively, of our net revenue. For each of 2023, 2022 and 2021, no single customer accounted for 10% or more of our net revenue.</w:t>
      </w:r>
    </w:p>
    <w:p>
      <w:pPr>
        <w:spacing w:after="0" w:line="184" w:lineRule="exact"/>
        <w:rPr>
          <w:sz w:val="20"/>
          <w:szCs w:val="20"/>
          <w:color w:val="auto"/>
        </w:rPr>
      </w:pPr>
    </w:p>
    <w:p>
      <w:pPr>
        <w:ind w:right="100" w:firstLine="324"/>
        <w:spacing w:after="0" w:line="276"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2023, 2022 and 2021, these programs represented 20%, 17% and 19%, respectively, of gross revenues, and adjustments to revenue due to changes in accruals for these programs have generally averaged less than 1% of gross revenue over the last three years.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Profit and Gross Margin</w:t>
      </w:r>
    </w:p>
    <w:p>
      <w:pPr>
        <w:spacing w:after="0" w:line="25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Consolidated gross profit decreased $3.99 billion, or 68%, in 2023 compared to 2022, which reflected the decrease in revenue described above as well as an aggregate of approximately $605 million for manufacturing underutilization and related charges and a write-down of certain Flash inventory to the lower of cost or market value ($404 million in Flash and $201 million in HDD), partially offset by $207 million of charges related to a contamination event in the Flash Ventures’ fabrication facilities incurred in the prior year, and a $66 million decrease in charges related to amortization expense on acquired intangible assets, some of which became fully amortized in 2023. Consolidated gross margin decreased 16 percentage points over the prior year with approximately 4 percentage points of the decline due to the net charges noted above and the remainder driven by the lower average selling prices per gigabyte in Flash. Flash gross margin decreased by 29.1 percentage points year over year, substantially driven by lower average selling prices per gigabyte in Flash with approximately 4 percentage points driven by year-over-year changes in the charges noted above. HDD gross margin decreased by 5.3 percentage points year over year, with approximately 3 percentage points of the decline due to the underutilization charges noted above and the remainder primarily reflecting lower average selling prices per gigabyte and variation in the mix of products.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R&amp;D expense decreased $314 million or 14% in 2023 compared to 2022, which reflects reductions in headcount and variable compensation expense as well as savings resulting from our actions to reduce expenses in the current dynamic economic environment.</w:t>
      </w:r>
    </w:p>
    <w:p>
      <w:pPr>
        <w:spacing w:after="0" w:line="198" w:lineRule="exact"/>
        <w:rPr>
          <w:sz w:val="20"/>
          <w:szCs w:val="20"/>
          <w:color w:val="auto"/>
        </w:rPr>
      </w:pPr>
    </w:p>
    <w:p>
      <w:pPr>
        <w:ind w:right="280" w:firstLine="324"/>
        <w:spacing w:after="0" w:line="248" w:lineRule="auto"/>
        <w:rPr>
          <w:sz w:val="20"/>
          <w:szCs w:val="20"/>
          <w:color w:val="auto"/>
        </w:rPr>
      </w:pPr>
      <w:r>
        <w:rPr>
          <w:rFonts w:ascii="Arial" w:cs="Arial" w:eastAsia="Arial" w:hAnsi="Arial"/>
          <w:sz w:val="18"/>
          <w:szCs w:val="18"/>
          <w:color w:val="auto"/>
        </w:rPr>
        <w:t>Selling, general and administrative (“SG&amp;A”) expense decreased $147 million or 13% in 2023 compared to 2022, which reflects reductions in headcount, variable compensation expense and professional fees as well as savings resulting from our actions to reduce expenses in the current dynamic economic environment.</w:t>
      </w:r>
    </w:p>
    <w:p>
      <w:pPr>
        <w:spacing w:after="0" w:line="20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 xml:space="preserve">Employee termination, asset impairment and other charges increased $150 million compared to 2022, primarily due to restructuring actions taken to adjust our cost structure to align with the current demand environment. For additional information regarding employee termination, asset impairment and other charges, see Part II, Item 8, Note 16,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w:t>
      </w:r>
    </w:p>
    <w:p>
      <w:pPr>
        <w:spacing w:after="0" w:line="23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7"/>
          <w:szCs w:val="17"/>
          <w:color w:val="auto"/>
        </w:rPr>
        <w:t xml:space="preserve">The total interest and other income, net in 2023 was relatively flat compared to 2022, which reflected higher interest expense as a result of increases in interest rates and lower other income, partially offset by $29 million of lower amortization of the debt discount as a result of the adoption of ASU 2020-06 (as defined and described in Note 2, </w:t>
      </w: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of the Notes to Consolidated Financial Statements included in this Annual Report on Form 10-K) and higher interest income on our cash and investments due to higher interest rates.</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18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On August 16, 2022, President Biden signed into law the Inflation Reduction Act of 2022, which contained significant law changes related to tax, climate, energy, and health care. The tax measures include, among other things, a corporate alternative minimum tax (“CAMT”) of 15% on corporations with three-year average annual adjusted financial statement income (“AFSI”) exceeding $1.00 billion. The CAMT will be effective for us beginning with fiscal year 2024. We are currently evaluating the potential effects of these legislative changes.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Income tax information from our Consolidated Statement of Operations by dollar and effective tax rate: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601"/>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120" w:type="dxa"/>
            <w:vAlign w:val="bottom"/>
          </w:tcPr>
          <w:p>
            <w:pPr>
              <w:jc w:val="right"/>
              <w:ind w:right="541"/>
              <w:spacing w:after="0"/>
              <w:rPr>
                <w:sz w:val="20"/>
                <w:szCs w:val="20"/>
                <w:color w:val="auto"/>
              </w:rPr>
            </w:pPr>
            <w:r>
              <w:rPr>
                <w:rFonts w:ascii="Arial" w:cs="Arial" w:eastAsia="Arial" w:hAnsi="Arial"/>
                <w:sz w:val="14"/>
                <w:szCs w:val="14"/>
                <w:b w:val="1"/>
                <w:bCs w:val="1"/>
                <w:color w:val="auto"/>
              </w:rPr>
              <w:t>2021</w:t>
            </w:r>
          </w:p>
        </w:tc>
      </w:tr>
      <w:tr>
        <w:trPr>
          <w:trHeight w:val="26"/>
        </w:trPr>
        <w:tc>
          <w:tcPr>
            <w:tcW w:w="6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6"/>
        </w:trPr>
        <w:tc>
          <w:tcPr>
            <w:tcW w:w="6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00" w:type="dxa"/>
            <w:vAlign w:val="bottom"/>
            <w:gridSpan w:val="4"/>
          </w:tcPr>
          <w:p>
            <w:pPr>
              <w:jc w:val="right"/>
              <w:ind w:right="139"/>
              <w:spacing w:after="0"/>
              <w:rPr>
                <w:sz w:val="20"/>
                <w:szCs w:val="20"/>
                <w:color w:val="auto"/>
              </w:rPr>
            </w:pPr>
            <w:r>
              <w:rPr>
                <w:rFonts w:ascii="Arial" w:cs="Arial" w:eastAsia="Arial" w:hAnsi="Arial"/>
                <w:sz w:val="16"/>
                <w:szCs w:val="16"/>
                <w:i w:val="1"/>
                <w:iCs w:val="1"/>
                <w:color w:val="auto"/>
              </w:rPr>
              <w:t>(in millions, except percentages)</w:t>
            </w:r>
          </w:p>
        </w:tc>
        <w:tc>
          <w:tcPr>
            <w:tcW w:w="1120" w:type="dxa"/>
            <w:vAlign w:val="bottom"/>
          </w:tcPr>
          <w:p>
            <w:pPr>
              <w:spacing w:after="0"/>
              <w:rPr>
                <w:sz w:val="17"/>
                <w:szCs w:val="17"/>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(1,560)</w:t>
            </w:r>
          </w:p>
        </w:tc>
        <w:tc>
          <w:tcPr>
            <w:tcW w:w="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2,123</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927</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18"/>
                <w:szCs w:val="18"/>
                <w:color w:val="auto"/>
              </w:rPr>
            </w:pP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146</w:t>
            </w:r>
          </w:p>
        </w:tc>
        <w:tc>
          <w:tcPr>
            <w:tcW w:w="400" w:type="dxa"/>
            <w:vAlign w:val="bottom"/>
          </w:tcPr>
          <w:p>
            <w:pPr>
              <w:spacing w:after="0"/>
              <w:rPr>
                <w:sz w:val="18"/>
                <w:szCs w:val="18"/>
                <w:color w:val="auto"/>
              </w:rPr>
            </w:pP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623</w:t>
            </w:r>
          </w:p>
        </w:tc>
        <w:tc>
          <w:tcPr>
            <w:tcW w:w="46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106</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bl>
    <w:p>
      <w:pPr>
        <w:spacing w:after="0" w:line="31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Beginning in 2023, the 2017 Act requires us to capitalize and amortize R&amp;D expenses rather than expensing them in the year incurred. The tax effects related to the capitalization of R&amp;D expenses are included in Income tax expense, but did not have a material impact on our effective tax rate.</w:t>
      </w:r>
    </w:p>
    <w:p>
      <w:pPr>
        <w:spacing w:after="0" w:line="15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primary drivers of the difference between the effective tax rate for 2023 and the U.S. Federal statutory rate of 21% are the relative mix of earnings and losses by jurisdiction, the deduction for foreign derived intangible income, credits, and tax holidays in Malaysia, the Philippines and Thailand that will expire at various dates during years 2024 through 2031.</w:t>
      </w:r>
    </w:p>
    <w:p>
      <w:pPr>
        <w:spacing w:after="0" w:line="21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primary drivers of the difference between the effective tax rate for 2022 and the U.S. Federal statutory rate of 21% are the relative mix of earnings and losses by jurisdiction, the deduction for foreign derived intangible income, credits, and tax holidays in Malaysia, the Philippines and Thailand that will expire at various dates during years 2024 through 2031. In addition, the effective tax rate for 2022 includes a net increase of $352 million to the liability for unrecognized tax benefits, which includes interest and offsetting tax benefits, as a result of our discussions with various taxing authorities. This amount includes $324 million related to the effects of the final settlement with the IRS resolving the statutory notices of deficiency with respect to 2008 through 2012 and the tentative settlement reached with the IRS resolving the notices of proposed adjustments with respect to 2013 through 2015.</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future effective tax rate is subject to future regulatory developments and changes in the mix of our U.S. earnings compared to foreign earnings.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total tax expense in future years may also vary as a result of discrete items such as excess tax benefits or deficiencies.</w:t>
      </w:r>
    </w:p>
    <w:p>
      <w:pPr>
        <w:spacing w:after="0" w:line="23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 xml:space="preserve">For additional information regarding Income tax expense, see Part II, Item 8, Note 14,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discussion of our results of operations for 2021, including a comparison of such results of operations to 2022, is included in Part II, Item 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1, 2022 filed with the Securities and Exchange Commission on August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40" w:type="dxa"/>
            <w:vAlign w:val="bottom"/>
          </w:tcPr>
          <w:p>
            <w:pPr>
              <w:jc w:val="right"/>
              <w:ind w:right="2"/>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6"/>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6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1,880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1,898</w:t>
            </w: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(817)</w:t>
            </w:r>
          </w:p>
        </w:tc>
      </w:tr>
      <w:tr>
        <w:trPr>
          <w:trHeight w:val="216"/>
        </w:trPr>
        <w:tc>
          <w:tcPr>
            <w:tcW w:w="6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2"/>
        </w:trPr>
        <w:tc>
          <w:tcPr>
            <w:tcW w:w="67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r>
      <w:tr>
        <w:trPr>
          <w:trHeight w:val="21"/>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We reached a final agreement with the IRS and received notices of deficiency with respect to years 2008 through 2012. In addition, we have tentatively reached a basis for resolving the notices of proposed adjustments with respect to years 2013 through 2015. As of June 30, 2023, we have recognized a liability for tax and interest of $753 million related to all years from 2008 through 2015. We expect to pay $523 million in the first quarter of 2024 with respect to years 2008 through 2012 and expect to pay any remaining balance with respect to this matter within the next twelve months.</w:t>
      </w:r>
    </w:p>
    <w:p>
      <w:pPr>
        <w:spacing w:after="0" w:line="202"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 xml:space="preserve">In connection with settlements for years 2008 through 2015, we expect to realize reductions to our mandatory deemed repatriation tax obligations and tax savings from interest deductions in future years aggregating to approximately $160 million to $180 million. See Part I, Item 1, Note 14, </w:t>
      </w:r>
      <w:r>
        <w:rPr>
          <w:rFonts w:ascii="Arial" w:cs="Arial" w:eastAsia="Arial" w:hAnsi="Arial"/>
          <w:sz w:val="18"/>
          <w:szCs w:val="18"/>
          <w:i w:val="1"/>
          <w:iCs w:val="1"/>
          <w:color w:val="auto"/>
        </w:rPr>
        <w:t>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w:t>
      </w:r>
      <w:r>
        <w:rPr>
          <w:rFonts w:ascii="Arial" w:cs="Arial" w:eastAsia="Arial" w:hAnsi="Arial"/>
          <w:sz w:val="18"/>
          <w:szCs w:val="18"/>
          <w:color w:val="auto"/>
        </w:rPr>
        <w:t>for further details.</w:t>
      </w:r>
    </w:p>
    <w:p>
      <w:pPr>
        <w:spacing w:after="0" w:line="209" w:lineRule="exact"/>
        <w:rPr>
          <w:sz w:val="20"/>
          <w:szCs w:val="20"/>
          <w:color w:val="auto"/>
        </w:rPr>
      </w:pPr>
    </w:p>
    <w:p>
      <w:pPr>
        <w:jc w:val="both"/>
        <w:ind w:right="540" w:firstLine="324"/>
        <w:spacing w:after="0" w:line="270" w:lineRule="auto"/>
        <w:rPr>
          <w:sz w:val="20"/>
          <w:szCs w:val="20"/>
          <w:color w:val="auto"/>
        </w:rPr>
      </w:pPr>
      <w:r>
        <w:rPr>
          <w:rFonts w:ascii="Arial" w:cs="Arial" w:eastAsia="Arial" w:hAnsi="Arial"/>
          <w:sz w:val="17"/>
          <w:szCs w:val="17"/>
          <w:color w:val="auto"/>
        </w:rPr>
        <w:t xml:space="preserve">The $1.10 billion principal amount of our 1.50% convertible notes due 2024 will mature on February 1, 2024, and we are required to settle any conversion value with the principal amount settled in cash and any excess in cash, shares of the Company’s common stock, or a combination thereof pursuant to the terms of the indenture, dated as of February 13, 2018. See Part I, Item 1, Note 8, </w:t>
      </w:r>
      <w:r>
        <w:rPr>
          <w:rFonts w:ascii="Arial" w:cs="Arial" w:eastAsia="Arial" w:hAnsi="Arial"/>
          <w:sz w:val="17"/>
          <w:szCs w:val="17"/>
          <w:i w:val="1"/>
          <w:iCs w:val="1"/>
          <w:color w:val="auto"/>
        </w:rPr>
        <w:t>Debt</w:t>
      </w:r>
      <w:r>
        <w:rPr>
          <w:rFonts w:ascii="Arial" w:cs="Arial" w:eastAsia="Arial" w:hAnsi="Arial"/>
          <w:sz w:val="17"/>
          <w:szCs w:val="17"/>
          <w:color w:val="auto"/>
        </w:rPr>
        <w:t xml:space="preserve"> for further details.</w:t>
      </w:r>
    </w:p>
    <w:p>
      <w:pPr>
        <w:spacing w:after="0" w:line="191"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As further described under “Key Developments - Financing Activities” above, in December 2022 and June 2023, we modified certain financial covenant requirements in the loan agreement governing our Term Loan A-2 and revolving credit facility. In addition, in January 2023, we entered into a delayed draw term loan agreement, which was then amended in June 2023 and fully drawn in the amount of $600 million in August 2023. In January 2023, we also issued an aggregate of 900,000 shares of Series A Preferred Stock for an aggregate purchase price of $900 million. We believe these transactions will provide us with greater financial flexibility to manage our business.</w:t>
      </w:r>
    </w:p>
    <w:p>
      <w:pPr>
        <w:spacing w:after="0" w:line="203"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color w:val="auto"/>
        </w:rPr>
        <w:t>We have an existing shelf registration statement (the “Shelf Registration Statement”) filed with the Securities and Exchange Commission that expires in August 2024, which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216"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As noted previously, we have been scaling back on capital expenditures, consolidating production lines and reducing bit growth to align with market demand. We reduced our expenditures for property, plant and equipment for our company plus our portion of the capital expenditures by our Flash Ventures joint venture with Kioxia for its operations to approximately $1.4 billion in 2023 from approximately $1.5 billion in 2022. After consideration of the Flash Ventures’ lease financing of its capital expenditures and net operating cash flow, we reduced our net cash used for our purchases of property, plant and equipment and net activity in notes receivable relating to Flash Ventures to $793 million in 2023 from $1.2 billion in 2022. We expect the capital expenditures for 2024 to be less than 2023.</w:t>
      </w:r>
    </w:p>
    <w:p>
      <w:pPr>
        <w:spacing w:after="0" w:line="23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We believe our cash, and cash equivalents including the proceeds from the drawdown of the Delayed Draw Term Loan, as discussed in “Key Developments - Financing Activities” above, as well as our available revolving credit facility, will be sufficient to meet our working capital, debt and capital expenditure needs for at least the next twelve months and for the foreseeable future thereafter, as we navigate the current market downturn before returning to profitable operations and positive cash flows when the market normalizes. We believe we can also access the various capital markets to further supplement our liquidity position if necessary. Our ability to sustain our working capital position is subject to a number of risks that we discuss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740" w:firstLine="324"/>
        <w:spacing w:after="0" w:line="308" w:lineRule="auto"/>
        <w:rPr>
          <w:sz w:val="20"/>
          <w:szCs w:val="20"/>
          <w:color w:val="auto"/>
        </w:rPr>
      </w:pPr>
      <w:r>
        <w:rPr>
          <w:rFonts w:ascii="Arial" w:cs="Arial" w:eastAsia="Arial" w:hAnsi="Arial"/>
          <w:sz w:val="17"/>
          <w:szCs w:val="17"/>
          <w:color w:val="auto"/>
        </w:rPr>
        <w:t>A total of $1.28 billion and $1.82 billion of our cash and cash equivalents were held outside of the U.S. as of June 30, 2023 and July 1, 2022, respectively. There are no material tax consequences that were not previously accrued for on the repatriation of this cash.</w:t>
      </w:r>
    </w:p>
    <w:p>
      <w:pPr>
        <w:spacing w:after="0" w:line="173"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Net cash provided by or used in operating activities primarily consists of net income or loss, adjusted for non-cash charges, plus or minus changes in operating assets and liabilities. Net cash provided by changes in operating assets and liabilities was $90 million for 2023, as compared to $1.08 billion for 2022, which reflects the reduction in the volume of our business.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At the end of the respective fourth quarters, the cash conversion cycles were as follows (in days):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gridSpan w:val="2"/>
          </w:tcPr>
          <w:p>
            <w:pPr>
              <w:ind w:left="7300"/>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4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6"/>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6"/>
        </w:trPr>
        <w:tc>
          <w:tcPr>
            <w:tcW w:w="6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480"/>
              <w:spacing w:after="0"/>
              <w:rPr>
                <w:sz w:val="20"/>
                <w:szCs w:val="20"/>
                <w:color w:val="auto"/>
              </w:rPr>
            </w:pPr>
            <w:r>
              <w:rPr>
                <w:rFonts w:ascii="Arial" w:cs="Arial" w:eastAsia="Arial" w:hAnsi="Arial"/>
                <w:sz w:val="14"/>
                <w:szCs w:val="14"/>
                <w:i w:val="1"/>
                <w:iCs w:val="1"/>
                <w:color w:val="auto"/>
              </w:rPr>
              <w:t>(in days)</w:t>
            </w:r>
          </w:p>
        </w:tc>
        <w:tc>
          <w:tcPr>
            <w:tcW w:w="144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Days sales outstanding</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1081"/>
              <w:spacing w:after="0"/>
              <w:rPr>
                <w:sz w:val="20"/>
                <w:szCs w:val="20"/>
                <w:color w:val="auto"/>
              </w:rPr>
            </w:pPr>
            <w:r>
              <w:rPr>
                <w:rFonts w:ascii="Arial" w:cs="Arial" w:eastAsia="Arial" w:hAnsi="Arial"/>
                <w:sz w:val="16"/>
                <w:szCs w:val="16"/>
                <w:color w:val="auto"/>
                <w:w w:val="89"/>
              </w:rPr>
              <w:t>42</w:t>
            </w:r>
          </w:p>
        </w:tc>
      </w:tr>
      <w:tr>
        <w:trPr>
          <w:trHeight w:val="213"/>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Days in inventory</w:t>
            </w:r>
          </w:p>
        </w:tc>
        <w:tc>
          <w:tcPr>
            <w:tcW w:w="44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440" w:type="dxa"/>
            <w:vAlign w:val="bottom"/>
          </w:tcPr>
          <w:p>
            <w:pPr>
              <w:jc w:val="center"/>
              <w:ind w:left="1081"/>
              <w:spacing w:after="0"/>
              <w:rPr>
                <w:sz w:val="20"/>
                <w:szCs w:val="20"/>
                <w:color w:val="auto"/>
              </w:rPr>
            </w:pPr>
            <w:r>
              <w:rPr>
                <w:rFonts w:ascii="Arial" w:cs="Arial" w:eastAsia="Arial" w:hAnsi="Arial"/>
                <w:sz w:val="16"/>
                <w:szCs w:val="16"/>
                <w:color w:val="auto"/>
                <w:w w:val="89"/>
              </w:rPr>
              <w:t>98</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payables outstanding</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left="1041"/>
              <w:spacing w:after="0"/>
              <w:rPr>
                <w:sz w:val="20"/>
                <w:szCs w:val="20"/>
                <w:color w:val="auto"/>
              </w:rPr>
            </w:pPr>
            <w:r>
              <w:rPr>
                <w:rFonts w:ascii="Arial" w:cs="Arial" w:eastAsia="Arial" w:hAnsi="Arial"/>
                <w:sz w:val="16"/>
                <w:szCs w:val="16"/>
                <w:color w:val="auto"/>
                <w:w w:val="98"/>
              </w:rPr>
              <w:t>(63)</w:t>
            </w:r>
          </w:p>
        </w:tc>
      </w:tr>
      <w:tr>
        <w:trPr>
          <w:trHeight w:val="213"/>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Cash conversion cycle</w:t>
            </w:r>
          </w:p>
        </w:tc>
        <w:tc>
          <w:tcPr>
            <w:tcW w:w="4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440" w:type="dxa"/>
            <w:vAlign w:val="bottom"/>
          </w:tcPr>
          <w:p>
            <w:pPr>
              <w:jc w:val="center"/>
              <w:ind w:left="1081"/>
              <w:spacing w:after="0"/>
              <w:rPr>
                <w:sz w:val="20"/>
                <w:szCs w:val="20"/>
                <w:color w:val="auto"/>
              </w:rPr>
            </w:pPr>
            <w:r>
              <w:rPr>
                <w:rFonts w:ascii="Arial" w:cs="Arial" w:eastAsia="Arial" w:hAnsi="Arial"/>
                <w:sz w:val="16"/>
                <w:szCs w:val="16"/>
                <w:color w:val="auto"/>
                <w:w w:val="89"/>
              </w:rPr>
              <w:t>77</w:t>
            </w:r>
          </w:p>
        </w:tc>
      </w:tr>
      <w:tr>
        <w:trPr>
          <w:trHeight w:val="20"/>
        </w:trPr>
        <w:tc>
          <w:tcPr>
            <w:tcW w:w="6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Changes in days sales outstanding (“DSO”) are generally due to the timing of shipments. Changes in days in inventory (“DIO”) are generally related to the timing of inventory builds. Changes in days payables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215" w:lineRule="exact"/>
        <w:rPr>
          <w:sz w:val="20"/>
          <w:szCs w:val="20"/>
          <w:color w:val="auto"/>
        </w:rPr>
      </w:pPr>
    </w:p>
    <w:p>
      <w:pPr>
        <w:jc w:val="both"/>
        <w:ind w:right="180" w:firstLine="324"/>
        <w:spacing w:after="0" w:line="294" w:lineRule="auto"/>
        <w:rPr>
          <w:sz w:val="20"/>
          <w:szCs w:val="20"/>
          <w:color w:val="auto"/>
        </w:rPr>
      </w:pPr>
      <w:r>
        <w:rPr>
          <w:rFonts w:ascii="Arial" w:cs="Arial" w:eastAsia="Arial" w:hAnsi="Arial"/>
          <w:sz w:val="16"/>
          <w:szCs w:val="16"/>
          <w:color w:val="auto"/>
        </w:rPr>
        <w:t>DSO decreased by 2 days over the prior year, reflecting timing of shipments and customer collections. DIO increased by 23 days over the prior year, primarily reflecting a decline in products shipped in light of the current market environment. DPO decreased 10 days over the prior year, primarily due to reductions in production volume and capital expenditures as well as routine variations in the timing of purchases and payments during the period.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Net cash used in investing activities in 2023 primarily consisted of $821 million in capital expenditures, partially offset by a $14 million net decrease in notes receivable issuance to Flash Ventures and $14 million in net proceeds from the sale of property, plant, and equipment. Net cash used in investing activities in 2022 primarily consisted of a $1.12 billion of capital expenditures, partially offset by a $91 million net increase in notes receivable issuances to Flash Ventures.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During 2023, net cash provided by financing activities primarily consisted of $881 million from the issuance of Series A Preferred Stock and $93 million from issuance of stock under employee stock plans, partially offset by $80 million used for taxes paid on vested stock awards under employee stock plans. In addition, we drew and repaid $1.18 billion under our revolving credit facility within the period. Cash used in financing activities in 2022 primarily consisted of $3.62 billion for repayment of debt, as well as $122 million for taxes paid on vested stock awards under employee stock plans, partially offset by net proceeds of $1.87 billion from the issuance of new debt and $90 million from the issuance of stock under employee stock plans.</w:t>
      </w:r>
    </w:p>
    <w:p>
      <w:pPr>
        <w:spacing w:after="0" w:line="20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A discussion of our cash flows for the year ended July 2, 2021 is included in Part II,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Liquidity and Capital Resources</w:t>
      </w:r>
      <w:r>
        <w:rPr>
          <w:rFonts w:ascii="Arial" w:cs="Arial" w:eastAsia="Arial" w:hAnsi="Arial"/>
          <w:sz w:val="18"/>
          <w:szCs w:val="18"/>
          <w:color w:val="auto"/>
        </w:rPr>
        <w:t>, included in our Annual Report on Form 10-K for the year ended July 1, 2022 filed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Securities and Exchange Commission on August 25,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Other than the commitments related to Flash Ventures incurred in the normal course of business and certain indemnification provisions (see “Short-and Long-term Liquidity - Indemnifications”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Consolidated Financial Statements. Additionally, with the exception of Flash Ventures and our joint venture with Unisplendour Corporation Limited and Unissoft (Wuxi) Group Co. Ltd. (“Unis”), referred to as the “Unis Venture”, we do not have an interest in, or relationships with, any variable interest entities. For additional information regarding our off-balance sheet arrangements, see Part II, Item 8, Note 10, </w:t>
      </w:r>
      <w:r>
        <w:rPr>
          <w:rFonts w:ascii="Arial" w:cs="Arial" w:eastAsia="Arial" w:hAnsi="Arial"/>
          <w:sz w:val="18"/>
          <w:szCs w:val="18"/>
          <w:i w:val="1"/>
          <w:iCs w:val="1"/>
          <w:color w:val="auto"/>
        </w:rPr>
        <w:t>Related Parties and Related Commitments and Contingencies</w:t>
      </w:r>
      <w:r>
        <w:rPr>
          <w:rFonts w:ascii="Arial" w:cs="Arial" w:eastAsia="Arial" w:hAnsi="Arial"/>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Material Cash Requirements</w:t>
      </w:r>
    </w:p>
    <w:p>
      <w:pPr>
        <w:spacing w:after="0" w:line="239"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In addition to cash requirements for unrecognized tax benefits and dividend rights with respect to the Series A Preferred Stock discussed below, the following is a summary of our known material cash requirements, including those for capital expenditures, as of June 30, 2023:</w:t>
      </w:r>
    </w:p>
    <w:tbl>
      <w:tblPr>
        <w:tblLayout w:type="fixed"/>
        <w:tblInd w:w="0" w:type="dxa"/>
        <w:tblCellMar>
          <w:top w:w="0" w:type="dxa"/>
          <w:left w:w="0" w:type="dxa"/>
          <w:bottom w:w="0" w:type="dxa"/>
          <w:right w:w="0" w:type="dxa"/>
        </w:tblCellMar>
      </w:tblPr>
      <w:tr>
        <w:trPr>
          <w:trHeight w:val="150"/>
        </w:trPr>
        <w:tc>
          <w:tcPr>
            <w:tcW w:w="22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(2024)</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2-3 Years (2025-</w:t>
            </w:r>
          </w:p>
        </w:tc>
        <w:tc>
          <w:tcPr>
            <w:tcW w:w="100" w:type="dxa"/>
            <w:vAlign w:val="bottom"/>
          </w:tcPr>
          <w:p>
            <w:pPr>
              <w:spacing w:after="0"/>
              <w:rPr>
                <w:sz w:val="13"/>
                <w:szCs w:val="13"/>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4-5 Years (2027-</w:t>
            </w: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2026)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2028)</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(Beyond 2028)</w:t>
            </w: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47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 obligations and other commitments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47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24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Principal portion of debt, excluding discounts and issuance costs.</w:t>
      </w:r>
    </w:p>
    <w:p>
      <w:pPr>
        <w:spacing w:after="0" w:line="1" w:lineRule="exact"/>
        <w:rPr>
          <w:rFonts w:ascii="Arial" w:cs="Arial" w:eastAsia="Arial" w:hAnsi="Arial"/>
          <w:sz w:val="23"/>
          <w:szCs w:val="23"/>
          <w:color w:val="auto"/>
          <w:vertAlign w:val="superscript"/>
        </w:rPr>
      </w:pPr>
    </w:p>
    <w:p>
      <w:pPr>
        <w:ind w:left="340" w:right="440" w:hanging="332"/>
        <w:spacing w:after="0" w:line="241" w:lineRule="auto"/>
        <w:tabs>
          <w:tab w:leader="none" w:pos="32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Dividend rights</w:t>
      </w:r>
    </w:p>
    <w:p>
      <w:pPr>
        <w:spacing w:after="0" w:line="252"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 xml:space="preserve">On January 31, 2023, we issued an aggregate of 900,000 shares of Series A Preferred Stock for an aggregate purchase price of $900 million. These shares are entitled to cumulative preferred dividends. See Part II, Item 8, Note 13, </w:t>
      </w:r>
      <w:r>
        <w:rPr>
          <w:rFonts w:ascii="Arial" w:cs="Arial" w:eastAsia="Arial" w:hAnsi="Arial"/>
          <w:sz w:val="16"/>
          <w:szCs w:val="16"/>
          <w:i w:val="1"/>
          <w:iCs w:val="1"/>
          <w:color w:val="auto"/>
        </w:rPr>
        <w:t>Shareholders’ Equity and Convertible Preferred Stock</w:t>
      </w:r>
      <w:r>
        <w:rPr>
          <w:rFonts w:ascii="Arial" w:cs="Arial" w:eastAsia="Arial" w:hAnsi="Arial"/>
          <w:sz w:val="16"/>
          <w:szCs w:val="16"/>
          <w:color w:val="auto"/>
        </w:rPr>
        <w:t>, of the Notes to Consolidated Financial Statements included in this Annual Report on Form 10-K for more information regarding the dividend provisions.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 xml:space="preserve">In addition to our existing debt, as of June 30, 2023, we had $2.25 billion available for borrowing under our revolving credit facility until January 2027, subject to customary conditions under the loan agreement. Furthermore, we drew the Delayed Draw Term Loan in the amount of $600 million as noted in “Key Developments - Financing Activities”. The agreements governing these credit facilities each include limits on secured indebtedness and certain types of unsecured subsidiary indebtedness and require certain of our subsidiaries to provide guarantees and collateral to the extent the conditions providing for such guarantees and collateral are met. Additional information regarding our indebtedness, including information about availability under our revolving credit facility and the principal repayment terms, interest rates, covenants and other key terms of our outstanding indebtedness, is included in Part II, Item 8, Note 8, </w:t>
      </w:r>
      <w:r>
        <w:rPr>
          <w:rFonts w:ascii="Arial" w:cs="Arial" w:eastAsia="Arial" w:hAnsi="Arial"/>
          <w:sz w:val="17"/>
          <w:szCs w:val="17"/>
          <w:i w:val="1"/>
          <w:iCs w:val="1"/>
          <w:color w:val="auto"/>
        </w:rPr>
        <w:t>Debt</w:t>
      </w:r>
      <w:r>
        <w:rPr>
          <w:rFonts w:ascii="Arial" w:cs="Arial" w:eastAsia="Arial" w:hAnsi="Arial"/>
          <w:sz w:val="17"/>
          <w:szCs w:val="17"/>
          <w:color w:val="auto"/>
        </w:rPr>
        <w:t>, of the Notes to Consolidated Financial Statements included in this Annual Report on Form 10-K. Our delayed draw term loan agreement and the loan agreement governing our revolving credit facility and our term loan A-2 due 2027 require us to comply with certain financial covenants, consisting of a leverage ratio, a minimum liquidity and a free cash flow requirements. As of June 30, 2023, we were in compliance with these financial covenants.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June 30, 2023, we were in compliance with all covenants under these Japanese lease facilities. See Part II, Item 8, Note 10, </w:t>
      </w:r>
      <w:r>
        <w:rPr>
          <w:rFonts w:ascii="Arial" w:cs="Arial" w:eastAsia="Arial" w:hAnsi="Arial"/>
          <w:sz w:val="17"/>
          <w:szCs w:val="17"/>
          <w:i w:val="1"/>
          <w:iCs w:val="1"/>
          <w:color w:val="auto"/>
        </w:rPr>
        <w:t>Related Parties and Related Commitments and Contingencies</w:t>
      </w:r>
      <w:r>
        <w:rPr>
          <w:rFonts w:ascii="Arial" w:cs="Arial" w:eastAsia="Arial" w:hAnsi="Arial"/>
          <w:sz w:val="17"/>
          <w:szCs w:val="17"/>
          <w:color w:val="auto"/>
        </w:rPr>
        <w:t>, of the Notes to Consolidated Financial Statements included in this Annual Report on Form 10-K for information regarding Flash Ventures.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5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52" w:lineRule="exact"/>
        <w:rPr>
          <w:sz w:val="20"/>
          <w:szCs w:val="20"/>
          <w:color w:val="auto"/>
        </w:rPr>
      </w:pPr>
    </w:p>
    <w:p>
      <w:pPr>
        <w:ind w:right="40" w:firstLine="324"/>
        <w:spacing w:after="0" w:line="269" w:lineRule="auto"/>
        <w:rPr>
          <w:sz w:val="20"/>
          <w:szCs w:val="20"/>
          <w:color w:val="auto"/>
        </w:rPr>
      </w:pPr>
      <w:r>
        <w:rPr>
          <w:rFonts w:ascii="Arial" w:cs="Arial" w:eastAsia="Arial" w:hAnsi="Arial"/>
          <w:sz w:val="18"/>
          <w:szCs w:val="18"/>
          <w:color w:val="auto"/>
        </w:rPr>
        <w:t>The following is a summary of our estimated mandatory deemed repatriation tax obligations under the 2017 Act that are payable in the following years (in millions):</w:t>
      </w:r>
    </w:p>
    <w:tbl>
      <w:tblPr>
        <w:tblLayout w:type="fixed"/>
        <w:tblInd w:w="0" w:type="dxa"/>
        <w:tblCellMar>
          <w:top w:w="0" w:type="dxa"/>
          <w:left w:w="0" w:type="dxa"/>
          <w:bottom w:w="0" w:type="dxa"/>
          <w:right w:w="0" w:type="dxa"/>
        </w:tblCellMar>
      </w:tblPr>
      <w:tr>
        <w:trPr>
          <w:trHeight w:val="149"/>
        </w:trPr>
        <w:tc>
          <w:tcPr>
            <w:tcW w:w="9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382"/>
              <w:spacing w:after="0" w:line="149" w:lineRule="exact"/>
              <w:rPr>
                <w:sz w:val="20"/>
                <w:szCs w:val="20"/>
                <w:color w:val="auto"/>
              </w:rPr>
            </w:pPr>
            <w:r>
              <w:rPr>
                <w:rFonts w:ascii="Arial" w:cs="Arial" w:eastAsia="Arial" w:hAnsi="Arial"/>
                <w:sz w:val="14"/>
                <w:szCs w:val="14"/>
                <w:b w:val="1"/>
                <w:bCs w:val="1"/>
                <w:color w:val="auto"/>
              </w:rPr>
              <w:t>June 30,</w:t>
            </w:r>
          </w:p>
        </w:tc>
      </w:tr>
      <w:tr>
        <w:trPr>
          <w:trHeight w:val="192"/>
        </w:trPr>
        <w:tc>
          <w:tcPr>
            <w:tcW w:w="9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r>
      <w:tr>
        <w:trPr>
          <w:trHeight w:val="216"/>
        </w:trPr>
        <w:tc>
          <w:tcPr>
            <w:tcW w:w="9800" w:type="dxa"/>
            <w:vAlign w:val="bottom"/>
            <w:shd w:val="clear" w:color="auto" w:fill="CCEEFF"/>
          </w:tcPr>
          <w:p>
            <w:pPr>
              <w:jc w:val="right"/>
              <w:ind w:right="9359"/>
              <w:spacing w:after="0"/>
              <w:rPr>
                <w:sz w:val="20"/>
                <w:szCs w:val="20"/>
                <w:color w:val="auto"/>
              </w:rPr>
            </w:pPr>
            <w:r>
              <w:rPr>
                <w:rFonts w:ascii="Arial" w:cs="Arial" w:eastAsia="Arial" w:hAnsi="Arial"/>
                <w:sz w:val="16"/>
                <w:szCs w:val="16"/>
                <w:color w:val="auto"/>
                <w:w w:val="95"/>
              </w:rPr>
              <w:t>2024</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3"/>
        </w:trPr>
        <w:tc>
          <w:tcPr>
            <w:tcW w:w="9800" w:type="dxa"/>
            <w:vAlign w:val="bottom"/>
          </w:tcPr>
          <w:p>
            <w:pPr>
              <w:jc w:val="right"/>
              <w:ind w:right="9359"/>
              <w:spacing w:after="0"/>
              <w:rPr>
                <w:sz w:val="20"/>
                <w:szCs w:val="20"/>
                <w:color w:val="auto"/>
              </w:rPr>
            </w:pPr>
            <w:r>
              <w:rPr>
                <w:rFonts w:ascii="Arial" w:cs="Arial" w:eastAsia="Arial" w:hAnsi="Arial"/>
                <w:sz w:val="16"/>
                <w:szCs w:val="16"/>
                <w:color w:val="auto"/>
                <w:w w:val="95"/>
              </w:rPr>
              <w:t>2025</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6"/>
        </w:trPr>
        <w:tc>
          <w:tcPr>
            <w:tcW w:w="9800" w:type="dxa"/>
            <w:vAlign w:val="bottom"/>
            <w:shd w:val="clear" w:color="auto" w:fill="CCEEFF"/>
          </w:tcPr>
          <w:p>
            <w:pPr>
              <w:jc w:val="right"/>
              <w:ind w:right="9359"/>
              <w:spacing w:after="0"/>
              <w:rPr>
                <w:sz w:val="20"/>
                <w:szCs w:val="20"/>
                <w:color w:val="auto"/>
              </w:rPr>
            </w:pPr>
            <w:r>
              <w:rPr>
                <w:rFonts w:ascii="Arial" w:cs="Arial" w:eastAsia="Arial" w:hAnsi="Arial"/>
                <w:sz w:val="16"/>
                <w:szCs w:val="16"/>
                <w:color w:val="auto"/>
                <w:w w:val="95"/>
              </w:rPr>
              <w:t>2026</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3"/>
        </w:trPr>
        <w:tc>
          <w:tcPr>
            <w:tcW w:w="9800" w:type="dxa"/>
            <w:vAlign w:val="bottom"/>
          </w:tcPr>
          <w:p>
            <w:pPr>
              <w:jc w:val="right"/>
              <w:ind w:right="9239"/>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r>
      <w:tr>
        <w:trPr>
          <w:trHeight w:val="21"/>
        </w:trPr>
        <w:tc>
          <w:tcPr>
            <w:tcW w:w="9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 xml:space="preserve">For additional information regarding our estimate of the total tax liability for the mandatory deemed repatriation tax, see Part II, Item 8,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Consolidated Financial Statements included in our Annual Report on Form 10-K for the year ended June 28, 2019.</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52"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As of June 30, 2023, the liability for unrecognized tax benefits (excluding accrued interest and penalties) was approximately $1.02 billion. Accrued interest and penalties related to unrecognized tax benefits as of June 30, 2023, were approximately $289 million. Of these amounts, approximately $1.14 billion could result in potential cash payments.</w:t>
      </w:r>
    </w:p>
    <w:p>
      <w:pPr>
        <w:spacing w:after="0" w:line="197" w:lineRule="exact"/>
        <w:rPr>
          <w:sz w:val="20"/>
          <w:szCs w:val="20"/>
          <w:color w:val="auto"/>
        </w:rPr>
      </w:pPr>
    </w:p>
    <w:p>
      <w:pPr>
        <w:ind w:right="20" w:firstLine="324"/>
        <w:spacing w:after="0" w:line="268" w:lineRule="auto"/>
        <w:rPr>
          <w:sz w:val="20"/>
          <w:szCs w:val="20"/>
          <w:color w:val="auto"/>
        </w:rPr>
      </w:pPr>
      <w:r>
        <w:rPr>
          <w:rFonts w:ascii="Arial" w:cs="Arial" w:eastAsia="Arial" w:hAnsi="Arial"/>
          <w:sz w:val="16"/>
          <w:szCs w:val="16"/>
          <w:color w:val="auto"/>
        </w:rPr>
        <w:t>As noted above, we reached a final agreement with the IRS and received notices of deficiency with respect to years 2008 through 2012. In addition, we have tentatively reached a basis for resolving the notices of proposed adjustments with respect to years 2013 through 2015. As of June 30, 2023, we have recognized a liability for tax and interest of $753 million related to all years from 2008 through 2015. We expect to pay $523 million in the first quarter of 2024 with respect to years 2008 through 2012 and expect to pay any remaining balance with respect to this matter within the next twelve months.</w:t>
      </w:r>
    </w:p>
    <w:p>
      <w:pPr>
        <w:spacing w:after="0" w:line="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 xml:space="preserve">In connection with settlements for years 2008 through 2015, we expect to realize reductions to our mandatory deemed repatriation tax obligations and tax savings from interest deductions in future years aggregating to approximately $160 million to $180 million. See Part I, Item 1, Note 14, </w:t>
      </w:r>
      <w:r>
        <w:rPr>
          <w:rFonts w:ascii="Arial" w:cs="Arial" w:eastAsia="Arial" w:hAnsi="Arial"/>
          <w:sz w:val="18"/>
          <w:szCs w:val="18"/>
          <w:i w:val="1"/>
          <w:iCs w:val="1"/>
          <w:color w:val="auto"/>
        </w:rPr>
        <w:t>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w:t>
      </w:r>
      <w:r>
        <w:rPr>
          <w:rFonts w:ascii="Arial" w:cs="Arial" w:eastAsia="Arial" w:hAnsi="Arial"/>
          <w:sz w:val="18"/>
          <w:szCs w:val="18"/>
          <w:color w:val="auto"/>
        </w:rPr>
        <w:t>for further details.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Research and Development Expense Capitalization</w:t>
      </w:r>
    </w:p>
    <w:p>
      <w:pPr>
        <w:spacing w:after="0" w:line="25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Beginning in 2023, the 2017 Act requires us to capitalize and amortize research and development expenses rather than expensing them in the year incurred, which is expected to result in higher cash tax payments once we return to profitability.</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II, Item 8, Note 7,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0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52"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We issued a quarterly cash dividend from the first quarter of 2013 up to the third quarter of 2020. In April 2020, we suspended our dividend to reinvest in the business and to support our ongoing deleveraging efforts. We will reevaluate our dividend policy as our leverage ratio improves.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II, Item 8,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Consolidated Financial Statements included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have prepared the accompanying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Consolidated Financial Statements may be material.</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provide distributors and retailers (collectively referred to as “resellers”) with limited price protection for inventories held by resellers at the time of published list price reductions. We also provide resellers and OEMs with other sales incentive programs. The Company records estimated variable consideration related to these items as a reduction to revenue at the time of revenue recognition. We use judgment in our assessment of variable consideration in contracts to be included in the transaction price. We use the expected value method to arrive at the amount of variable consideration. The Company constrains variable consideration until the likelihood of a significant revenue reversal is not probable and believes that the expected value method is the appropriate estimate of the amount of variable consideration based on the fact that we have a large number of contracts with similar characteristics.</w:t>
      </w:r>
    </w:p>
    <w:p>
      <w:pPr>
        <w:spacing w:after="0" w:line="19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sales to OEMs, the Company’s methodology for estimating variable consideration is based on the amount of consideration expected to be earned based on the OEMs’ volume of purchases from the Company or other agreed upon sales incentive programs. For sales to resellers, the methodology for estimating variable consideration is based on several factors including historical pricing information, current pricing trends and channel inventory levels. Estimating the impact of these factors requires significant judgment and differences between the estimated and actual amounts of variable consideration can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39" w:lineRule="exact"/>
        <w:rPr>
          <w:sz w:val="20"/>
          <w:szCs w:val="20"/>
          <w:color w:val="auto"/>
        </w:rPr>
      </w:pPr>
    </w:p>
    <w:p>
      <w:pPr>
        <w:ind w:firstLine="324"/>
        <w:spacing w:after="0" w:line="231" w:lineRule="auto"/>
        <w:rPr>
          <w:sz w:val="20"/>
          <w:szCs w:val="20"/>
          <w:color w:val="auto"/>
        </w:rPr>
      </w:pPr>
      <w:r>
        <w:rPr>
          <w:rFonts w:ascii="Arial" w:cs="Arial" w:eastAsia="Arial" w:hAnsi="Arial"/>
          <w:sz w:val="18"/>
          <w:szCs w:val="18"/>
          <w:color w:val="auto"/>
        </w:rPr>
        <w:t>We value inventories at the lower of cost or net realizable value (“NRV”), with cost determined on a first-in, first-out basis. We record inventory write-downs of our inventory to lower of cost or net realizable value or for obsolete or excess inventory based on assumptions, which requires significant judgement. The determination of NRV involves estimating the average selling prices less any selling expenses of inventory based on market conditions and customer demand. To estimate the average selling prices and selling expenses of inventory, we review historical sales, future demand, economic conditions, contract prices and other information.</w:t>
      </w:r>
    </w:p>
    <w:p>
      <w:pPr>
        <w:spacing w:after="0" w:line="205"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color w:val="auto"/>
        </w:rPr>
        <w:t>We periodically perform an excess and obsolete analysis of our inventory based on assumptions, which includes changes in business and economic conditions, changes in technology and projected demand of our products. If in any period we anticipate a change in those assumptions to be less favorable than our previous estimates, additional inventory write-downs may be required and could materially and negatively impact our gross margin. If in any period, we can sell inventories that had been written down to a level below the realized selling price in previous period, higher gross profit would be recognized in that period. While adjustments to these reserves have generally not been material, in 2023, we recorded a charge to Cost of revenue of $130 million, primarily to reduce component inventory to net realizable value as a result of a sudden change in demand for certain products.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 The assessment of valuation allowances against our deferred tax assets requires estimations and significant judgment. We continue to assess and adjust its valuation allowance based on operating results and market conditions. We account for interest and penalties related to income taxes as a component of the provision for income taxes.</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recognize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previously-recorded liabilities for unrealized tax benefits and materially affect our operating results.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239" w:lineRule="exact"/>
        <w:rPr>
          <w:sz w:val="20"/>
          <w:szCs w:val="20"/>
          <w:color w:val="auto"/>
        </w:rPr>
      </w:pPr>
    </w:p>
    <w:p>
      <w:pPr>
        <w:ind w:right="20" w:firstLine="324"/>
        <w:spacing w:after="0" w:line="268" w:lineRule="auto"/>
        <w:rPr>
          <w:sz w:val="20"/>
          <w:szCs w:val="20"/>
          <w:color w:val="auto"/>
        </w:rPr>
      </w:pPr>
      <w:r>
        <w:rPr>
          <w:rFonts w:ascii="Arial" w:cs="Arial" w:eastAsia="Arial" w:hAnsi="Arial"/>
          <w:sz w:val="16"/>
          <w:szCs w:val="16"/>
          <w:color w:val="auto"/>
        </w:rPr>
        <w:t xml:space="preserve">Goodwill is not amortized. Instead, it is tested for impairment on an annual basis or more frequently if events or changes in circumstances indicate that goodwill may be impaired. We perform our annual impairment test as of the first day of our fourth quarter for each reporting unit. As disclosed in Part II, Item 8. Note 3, </w:t>
      </w:r>
      <w:r>
        <w:rPr>
          <w:rFonts w:ascii="Arial" w:cs="Arial" w:eastAsia="Arial" w:hAnsi="Arial"/>
          <w:sz w:val="16"/>
          <w:szCs w:val="16"/>
          <w:i w:val="1"/>
          <w:iCs w:val="1"/>
          <w:color w:val="auto"/>
        </w:rPr>
        <w:t>Business Segments, Geographic Information, and Concentrations of Risk,</w:t>
      </w:r>
      <w:r>
        <w:rPr>
          <w:rFonts w:ascii="Arial" w:cs="Arial" w:eastAsia="Arial" w:hAnsi="Arial"/>
          <w:sz w:val="16"/>
          <w:szCs w:val="16"/>
          <w:color w:val="auto"/>
        </w:rPr>
        <w:t xml:space="preserve"> of the Notes to Consolidated Financial Statements in this Annual Report on Form 10-K, our management identified several factors that warranted a quantitative analysis of impairment for both the Flash and HDD reporting units during 2023. As disclosed, we are required to use judgment when applying the goodwill impairment test, including in the identification of our reporting units. We also make judgments and assumptions in the assignment of assets and liabilities to our reporting units, assignment of goodwill to reporting units and determination of the fair value of each reporting unit. In addition, the estimates used to determine the fair value of each of our reporting units may change based on results of operations, macroeconomic conditions or other factors. Changes in these estimates could materially affect our assessment of the fair value and goodwill impairment for each reporting unit. If our stock price decreases significantly, goodwill could become impaired, which could result in a material charge and adversely affect our results of operations. Our recent assessments have indicated that fair value exceeds carrying value by a reasonable margin and we have not identified any impairment indicators for our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 For additional information, see Part II, Item 8, Note 6, </w:t>
      </w:r>
      <w:r>
        <w:rPr>
          <w:rFonts w:ascii="Arial" w:cs="Arial" w:eastAsia="Arial" w:hAnsi="Arial"/>
          <w:sz w:val="18"/>
          <w:szCs w:val="18"/>
          <w:i w:val="1"/>
          <w:iCs w:val="1"/>
          <w:color w:val="auto"/>
        </w:rPr>
        <w:t>Fair Value Measurements and Investments,</w:t>
      </w:r>
      <w:r>
        <w:rPr>
          <w:rFonts w:ascii="Arial" w:cs="Arial" w:eastAsia="Arial" w:hAnsi="Arial"/>
          <w:sz w:val="18"/>
          <w:szCs w:val="18"/>
          <w:color w:val="auto"/>
        </w:rPr>
        <w:t xml:space="preserve"> and Note 7,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Consolidated Financial Statements included in this Annual Report on Form 10-K.</w:t>
      </w:r>
    </w:p>
    <w:p>
      <w:pPr>
        <w:spacing w:after="0" w:line="22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Due to macroeconomic changes and volatility experienced in the foreign exchange market recently, we believe sensitivity analysis is more informative in representing the potential impact to the portfolio as a result of market movement. Therefore, we have performed sensitivity analyses for 2023 and 2022,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June 30, 2023 and July 1, 2022. The sensitivity analyses indicated that a hypothetical 10% adverse movement in foreign currency exchange rates relative to the U.S. dollar would result in a foreign exchange fair value loss of $285 million and $306 million at June 30, 2023 and July 1, 2022, respectively.</w:t>
      </w:r>
    </w:p>
    <w:p>
      <w:pPr>
        <w:spacing w:after="0" w:line="19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2023, 2022 and 2021, total net realized and unrealized transaction and foreign exchange contract currency gains and losses were not material to our Consolidated Financial Statements.</w:t>
      </w:r>
    </w:p>
    <w:p>
      <w:pPr>
        <w:spacing w:after="0" w:line="197"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Interest Rate Risk</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Rate Risk</w:t>
      </w:r>
    </w:p>
    <w:p>
      <w:pPr>
        <w:spacing w:after="0" w:line="239" w:lineRule="exact"/>
        <w:rPr>
          <w:sz w:val="20"/>
          <w:szCs w:val="20"/>
          <w:color w:val="auto"/>
        </w:rPr>
      </w:pPr>
    </w:p>
    <w:p>
      <w:pPr>
        <w:ind w:right="120" w:firstLine="324"/>
        <w:spacing w:after="0" w:line="239" w:lineRule="auto"/>
        <w:rPr>
          <w:sz w:val="20"/>
          <w:szCs w:val="20"/>
          <w:color w:val="auto"/>
        </w:rPr>
      </w:pPr>
      <w:r>
        <w:rPr>
          <w:rFonts w:ascii="Arial" w:cs="Arial" w:eastAsia="Arial" w:hAnsi="Arial"/>
          <w:sz w:val="18"/>
          <w:szCs w:val="18"/>
          <w:color w:val="auto"/>
        </w:rPr>
        <w:t>We have generally held a balance of fixed and variable rate debt. As of June 30, 2023, our only variable rate debt outstanding was our Term Loan A-2 Loan, which bears interest, at the Company’s option, at a per annum rate equal to either (x) the Adjusted Term Secured Overnight Financing Rate (“SOFR”) (as defined in the Loan Agreement) plus an applicable margin varying from 1.125% to 2.000% or (y) a base rate plus an applicable margin varying from 0.125% to 1.000%, in each case depending on the corporate family ratings of the Company from at least two of Standard &amp; Poor’s Ratings Services, Moody’s Investors Service, Inc. and Fitch Ratings, Inc., with an initial interest rate of Adjusted Term SOFR plus 1.375%. As of June 30, 2023, the outstanding balance on our Term Loan A-2 was $2.70 billion and a one percent increase in the variable rate of interest would increase annual interest expense by $27 million.</w:t>
      </w:r>
    </w:p>
    <w:p>
      <w:pPr>
        <w:spacing w:after="0" w:line="21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For additional information regarding our variable interest rate debt, see Part II, Item 8, Note 8,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9"/>
              </w:rPr>
              <w:t>PAGE NO.</w:t>
            </w:r>
          </w:p>
        </w:tc>
      </w:tr>
      <w:tr>
        <w:trPr>
          <w:trHeight w:val="39"/>
        </w:trPr>
        <w:tc>
          <w:tcPr>
            <w:tcW w:w="96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1640" w:type="dxa"/>
            <w:vAlign w:val="bottom"/>
            <w:tcBorders>
              <w:bottom w:val="single" w:sz="8" w:color="CCEEFF"/>
            </w:tcBorders>
            <w:shd w:val="clear" w:color="auto" w:fill="CCEEFF"/>
          </w:tcPr>
          <w:p>
            <w:pPr>
              <w:spacing w:after="0"/>
              <w:rPr>
                <w:sz w:val="20"/>
                <w:szCs w:val="20"/>
                <w:color w:val="auto"/>
              </w:rPr>
            </w:pPr>
          </w:p>
        </w:tc>
      </w:tr>
      <w:tr>
        <w:trPr>
          <w:trHeight w:val="270"/>
        </w:trPr>
        <w:tc>
          <w:tcPr>
            <w:tcW w:w="9600" w:type="dxa"/>
            <w:vAlign w:val="bottom"/>
          </w:tcPr>
          <w:p>
            <w:pPr>
              <w:ind w:left="140"/>
              <w:spacing w:after="0"/>
              <w:rPr>
                <w:sz w:val="20"/>
                <w:szCs w:val="20"/>
                <w:color w:val="auto"/>
              </w:rPr>
            </w:pPr>
            <w:r>
              <w:rPr>
                <w:rFonts w:ascii="Arial" w:cs="Arial" w:eastAsia="Arial" w:hAnsi="Arial"/>
                <w:sz w:val="18"/>
                <w:szCs w:val="18"/>
                <w:color w:val="auto"/>
              </w:rPr>
              <w:t>Report of Independent Registered Public Accounting Firm (Auditor Firm ID: 185)</w:t>
            </w:r>
          </w:p>
        </w:tc>
        <w:tc>
          <w:tcPr>
            <w:tcW w:w="1640" w:type="dxa"/>
            <w:vAlign w:val="bottom"/>
          </w:tcPr>
          <w:p>
            <w:pPr>
              <w:jc w:val="center"/>
              <w:spacing w:after="0"/>
              <w:rPr>
                <w:sz w:val="20"/>
                <w:szCs w:val="20"/>
                <w:color w:val="auto"/>
              </w:rPr>
            </w:pPr>
            <w:r>
              <w:rPr>
                <w:rFonts w:ascii="Arial" w:cs="Arial" w:eastAsia="Arial" w:hAnsi="Arial"/>
                <w:sz w:val="18"/>
                <w:szCs w:val="18"/>
                <w:color w:val="0000FF"/>
                <w:w w:val="89"/>
              </w:rPr>
              <w:t>50</w:t>
            </w:r>
          </w:p>
        </w:tc>
      </w:tr>
      <w:tr>
        <w:trPr>
          <w:trHeight w:val="250"/>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Consolidated Balance Sheets — As of June 30, 2023 and July 1, 2022</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53</w:t>
            </w:r>
          </w:p>
        </w:tc>
      </w:tr>
      <w:tr>
        <w:trPr>
          <w:trHeight w:val="270"/>
        </w:trPr>
        <w:tc>
          <w:tcPr>
            <w:tcW w:w="9600" w:type="dxa"/>
            <w:vAlign w:val="bottom"/>
          </w:tcPr>
          <w:p>
            <w:pPr>
              <w:ind w:left="140"/>
              <w:spacing w:after="0"/>
              <w:rPr>
                <w:sz w:val="20"/>
                <w:szCs w:val="20"/>
                <w:color w:val="auto"/>
              </w:rPr>
            </w:pPr>
            <w:r>
              <w:rPr>
                <w:rFonts w:ascii="Arial" w:cs="Arial" w:eastAsia="Arial" w:hAnsi="Arial"/>
                <w:sz w:val="18"/>
                <w:szCs w:val="18"/>
                <w:color w:val="auto"/>
              </w:rPr>
              <w:t>Consolidated Statements of Operations — Three Years Ended June 30, 2023</w:t>
            </w:r>
          </w:p>
        </w:tc>
        <w:tc>
          <w:tcPr>
            <w:tcW w:w="1640" w:type="dxa"/>
            <w:vAlign w:val="bottom"/>
          </w:tcPr>
          <w:p>
            <w:pPr>
              <w:jc w:val="center"/>
              <w:spacing w:after="0"/>
              <w:rPr>
                <w:sz w:val="20"/>
                <w:szCs w:val="20"/>
                <w:color w:val="auto"/>
              </w:rPr>
            </w:pPr>
            <w:r>
              <w:rPr>
                <w:rFonts w:ascii="Arial" w:cs="Arial" w:eastAsia="Arial" w:hAnsi="Arial"/>
                <w:sz w:val="18"/>
                <w:szCs w:val="18"/>
                <w:color w:val="0000FF"/>
                <w:w w:val="89"/>
              </w:rPr>
              <w:t>54</w:t>
            </w:r>
          </w:p>
        </w:tc>
      </w:tr>
      <w:tr>
        <w:trPr>
          <w:trHeight w:val="270"/>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Statements of Comprehensive Income (Loss) — Three Years Ended June 30, 2023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9"/>
              </w:rPr>
              <w:t>55</w:t>
            </w:r>
          </w:p>
        </w:tc>
      </w:tr>
      <w:tr>
        <w:trPr>
          <w:trHeight w:val="270"/>
        </w:trPr>
        <w:tc>
          <w:tcPr>
            <w:tcW w:w="9600" w:type="dxa"/>
            <w:vAlign w:val="bottom"/>
          </w:tcPr>
          <w:p>
            <w:pPr>
              <w:ind w:left="140"/>
              <w:spacing w:after="0"/>
              <w:rPr>
                <w:sz w:val="20"/>
                <w:szCs w:val="20"/>
                <w:color w:val="auto"/>
              </w:rPr>
            </w:pPr>
            <w:r>
              <w:rPr>
                <w:rFonts w:ascii="Arial" w:cs="Arial" w:eastAsia="Arial" w:hAnsi="Arial"/>
                <w:sz w:val="18"/>
                <w:szCs w:val="18"/>
                <w:color w:val="auto"/>
              </w:rPr>
              <w:t>Consolidated Statements of Cash Flows — Three Years Ended June 30, 2023</w:t>
            </w:r>
          </w:p>
        </w:tc>
        <w:tc>
          <w:tcPr>
            <w:tcW w:w="1640" w:type="dxa"/>
            <w:vAlign w:val="bottom"/>
          </w:tcPr>
          <w:p>
            <w:pPr>
              <w:jc w:val="center"/>
              <w:spacing w:after="0"/>
              <w:rPr>
                <w:sz w:val="20"/>
                <w:szCs w:val="20"/>
                <w:color w:val="auto"/>
              </w:rPr>
            </w:pPr>
            <w:r>
              <w:rPr>
                <w:rFonts w:ascii="Arial" w:cs="Arial" w:eastAsia="Arial" w:hAnsi="Arial"/>
                <w:sz w:val="18"/>
                <w:szCs w:val="18"/>
                <w:color w:val="0000FF"/>
                <w:w w:val="89"/>
              </w:rPr>
              <w:t>56</w:t>
            </w:r>
          </w:p>
        </w:tc>
      </w:tr>
      <w:tr>
        <w:trPr>
          <w:trHeight w:val="270"/>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Consolidated Statements of Convertible Preferred Stock and Shareholders' Equity — Three Years Ended June 30, 2023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9"/>
              </w:rPr>
              <w:t>57</w:t>
            </w:r>
          </w:p>
        </w:tc>
      </w:tr>
      <w:tr>
        <w:trPr>
          <w:trHeight w:val="243"/>
        </w:trPr>
        <w:tc>
          <w:tcPr>
            <w:tcW w:w="960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w:t>
            </w:r>
          </w:p>
        </w:tc>
        <w:tc>
          <w:tcPr>
            <w:tcW w:w="1640" w:type="dxa"/>
            <w:vAlign w:val="bottom"/>
          </w:tcPr>
          <w:p>
            <w:pPr>
              <w:jc w:val="center"/>
              <w:spacing w:after="0"/>
              <w:rPr>
                <w:sz w:val="20"/>
                <w:szCs w:val="20"/>
                <w:color w:val="auto"/>
              </w:rPr>
            </w:pPr>
            <w:r>
              <w:rPr>
                <w:rFonts w:ascii="Arial" w:cs="Arial" w:eastAsia="Arial" w:hAnsi="Arial"/>
                <w:sz w:val="18"/>
                <w:szCs w:val="18"/>
                <w:color w:val="0000FF"/>
                <w:w w:val="89"/>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audited the accompanying consolidated balance sheets of Western Digital Corporation and subsidiaries (the Company) as of June 30, 2023 and July 1, 2022, the related consolidated statements of operations, comprehensive income (loss), cash flows, convertible preferred stock and shareholders’ equity for each of the years in the three-year period ended June 30, 2023, and the related notes (collectively, the consolidated financial statements). We also have audited the Company’s internal control over financial reporting as of June 30, 2023, based on criteria established in Internal Control – Integrated Framework (2013) issued by the Committee of Sponsoring Organizations of the Treadway Commission.</w:t>
      </w:r>
    </w:p>
    <w:p>
      <w:pPr>
        <w:spacing w:after="0" w:line="20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June 30, 2023 and July 1, 2022, and the results of its operations and its cash flows for each of the years in the three-year period ended June 30, 2023, in conformity with U.S. generally accepted accounting principles. Also in our opinion, the Company maintained, in all material respects, effective internal control over financial reporting as of June 30, 2023, based on criteria established in Internal Control – Integrated Framework (2013) issued by the Committee of Sponsoring Organizations of the Treadway Commission.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has changed its method of accounting for convertible debt instruments and</w:t>
      </w:r>
    </w:p>
    <w:p>
      <w:pPr>
        <w:spacing w:after="0" w:line="21"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convertible preferred stock as of July 2, 2022 due to the adoption of Accounting Standards Update No. 2020-06, “Debt—Debt with Conversion and Other Options (Subtopic 470-20) and Derivatives and Hedging—Contracts in Entity’s Own Equity (Subtopic 815-40): Accounting for Convertible Instruments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Contracts in an Entity’s Own Equity”.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3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Item 9A </w:t>
      </w:r>
      <w:r>
        <w:rPr>
          <w:rFonts w:ascii="Arial" w:cs="Arial" w:eastAsia="Arial" w:hAnsi="Arial"/>
          <w:sz w:val="16"/>
          <w:szCs w:val="16"/>
          <w:i w:val="1"/>
          <w:iCs w:val="1"/>
          <w:color w:val="auto"/>
        </w:rPr>
        <w:t>Controls and Procedures -</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Our responsibility is to express an opinion on the Company’s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5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Assessment of variable consideration for sales to resellers</w:t>
      </w:r>
    </w:p>
    <w:p>
      <w:pPr>
        <w:spacing w:after="0" w:line="252" w:lineRule="exact"/>
        <w:rPr>
          <w:sz w:val="20"/>
          <w:szCs w:val="20"/>
          <w:color w:val="auto"/>
        </w:rPr>
      </w:pPr>
    </w:p>
    <w:p>
      <w:pPr>
        <w:ind w:left="660" w:right="220"/>
        <w:spacing w:after="0" w:line="259" w:lineRule="auto"/>
        <w:rPr>
          <w:sz w:val="20"/>
          <w:szCs w:val="20"/>
          <w:color w:val="auto"/>
        </w:rPr>
      </w:pPr>
      <w:r>
        <w:rPr>
          <w:rFonts w:ascii="Arial" w:cs="Arial" w:eastAsia="Arial" w:hAnsi="Arial"/>
          <w:sz w:val="18"/>
          <w:szCs w:val="18"/>
          <w:color w:val="auto"/>
        </w:rPr>
        <w:t>As discussed in Note 1 to the consolidated financial statements, the Company provides resellers with price protection and other sales incentive programs. The Company uses judgment in its assessment of variable consideration related to these items in contracts to be included in the transaction price. The Company’s estimate of variable consideration for sales to resellers is based on several factors, including historical pricing information, current pricing trends, and channel inventory levels.</w:t>
      </w:r>
    </w:p>
    <w:p>
      <w:pPr>
        <w:spacing w:after="0" w:line="214" w:lineRule="exact"/>
        <w:rPr>
          <w:sz w:val="20"/>
          <w:szCs w:val="20"/>
          <w:color w:val="auto"/>
        </w:rPr>
      </w:pPr>
    </w:p>
    <w:p>
      <w:pPr>
        <w:jc w:val="both"/>
        <w:ind w:left="660" w:right="80"/>
        <w:spacing w:after="0" w:line="263" w:lineRule="auto"/>
        <w:rPr>
          <w:sz w:val="20"/>
          <w:szCs w:val="20"/>
          <w:color w:val="auto"/>
        </w:rPr>
      </w:pPr>
      <w:r>
        <w:rPr>
          <w:rFonts w:ascii="Arial" w:cs="Arial" w:eastAsia="Arial" w:hAnsi="Arial"/>
          <w:sz w:val="18"/>
          <w:szCs w:val="18"/>
          <w:color w:val="auto"/>
        </w:rPr>
        <w:t>We identified the assessment of variable consideration for sales to resellers as a critical audit matter. A high degree of subjective auditor judgment was required to evaluate the Company’s historical pricing information and the level of channel inventory used to determine variable consideration for sales to resellers.</w:t>
      </w:r>
    </w:p>
    <w:p>
      <w:pPr>
        <w:spacing w:after="0" w:line="211" w:lineRule="exact"/>
        <w:rPr>
          <w:sz w:val="20"/>
          <w:szCs w:val="20"/>
          <w:color w:val="auto"/>
        </w:rPr>
      </w:pPr>
    </w:p>
    <w:p>
      <w:pPr>
        <w:ind w:left="660" w:right="240"/>
        <w:spacing w:after="0" w:line="293"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process for determining the variable consideration, including certain controls related to historical pricing information and the level of channel inventory. We evaluated historical pricing by inspecting a sample of customer contracts with resellers and comparing the sales incentives earned during the year to the sales incentive program terms and conditions and recalculating amounts paid to the resellers. We tested the channel inventory levels by comparing the on-hand inventory amounts for a sample of resellers to information obtained from the resellers and evaluated the reasonableness of reconciling items.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 Impairment Assessment of the Company’s Reporting Units</w:t>
      </w:r>
    </w:p>
    <w:p>
      <w:pPr>
        <w:spacing w:after="0" w:line="252"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As discussed in Note 3 to the consolidated financial statements, the goodwill balance as of June 30, 2023 was $10,037 million. The Company tests goodwill for impairment on an annual basis as of the beginning of its fourth quarter or more frequently if events or changes in circumstances indicate that the goodwill may be impaired. The Company performed a quantitative assessment as of the end of the first and second quarters of fiscal 2023 and again as of its annual goodwill impairment test date, and the fair value of each reporting unit was measured based on a combination of valuation techniques, including an income approach and a market approach. Based on the Company’s analysis, the fair value of both reporting units was in excess of the carrying values and therefore, did not result in any goodwill impairment.</w:t>
      </w:r>
    </w:p>
    <w:p>
      <w:pPr>
        <w:spacing w:after="0" w:line="205"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We identified the assessment of goodwill for impairment for the Company’s reporting units as a critical audit matter. A high degree of subjective auditor judgment was required to evaluate the forecasted revenue, including revenue growth rates, forecasted cost of goods sold, and the company-specific risk premium assumptions used in the income approach to estimate the fair value of the reporting units. The assessment of these assumptions was challenging due to the degree of uncertainty related to future market and economic conditions. Differences in judgment used to determine these assumptions could have a significant effect on the Company’s assessment of the fair value of the reporting units. Additionally, evaluating the company-specific risk premium assumption required specialized skills and knowledge.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goodwill impairment process, including controls over the development of the forecasted revenue, forecasted cost of goods sold, and the company-specific risk premium assumptions. We evaluated the Company’s forecasted revenue by comparing it to historical results and revenue growth rates projected for peer companies and the industry. We evaluated the Company’s forecasted cost of goods sold by comparing it to historical results and by comparing the forecasted gross margin to historical gross margin for peer companies and the industry. In addition, we involved valuation professionals with specialized skills and knowledge, who assisted in evaluating the company-specific risk premium by comparing management’s financial projections to publicly available forecasts of comparable companies and the Company’s actual operating results in prior years.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120" w:type="dxa"/>
            <w:vAlign w:val="bottom"/>
          </w:tcPr>
          <w:p>
            <w:pPr>
              <w:jc w:val="right"/>
              <w:ind w:right="440"/>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0"/>
        </w:trPr>
        <w:tc>
          <w:tcPr>
            <w:tcW w:w="8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9,453</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and investments in Flash Ventures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10,041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34"/>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420"/>
              <w:spacing w:after="0"/>
              <w:rPr>
                <w:sz w:val="20"/>
                <w:szCs w:val="20"/>
                <w:color w:val="auto"/>
              </w:rPr>
            </w:pPr>
            <w:r>
              <w:rPr>
                <w:rFonts w:ascii="Arial" w:cs="Arial" w:eastAsia="Arial" w:hAnsi="Arial"/>
                <w:sz w:val="16"/>
                <w:szCs w:val="16"/>
                <w:b w:val="1"/>
                <w:bCs w:val="1"/>
                <w:color w:val="auto"/>
              </w:rPr>
              <w:t>LIABILITIES, CONVERTIBLE PREFERRED STOCK AND SHAREHOLDERS’</w:t>
            </w: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60" w:type="dxa"/>
            <w:vAlign w:val="bottom"/>
            <w:vMerge w:val="continue"/>
          </w:tcPr>
          <w:p>
            <w:pPr>
              <w:spacing w:after="0"/>
              <w:rPr>
                <w:sz w:val="14"/>
                <w:szCs w:val="14"/>
                <w:color w:val="auto"/>
              </w:rPr>
            </w:pPr>
          </w:p>
        </w:tc>
        <w:tc>
          <w:tcPr>
            <w:tcW w:w="1440" w:type="dxa"/>
            <w:vAlign w:val="bottom"/>
            <w:gridSpan w:val="2"/>
          </w:tcPr>
          <w:p>
            <w:pPr>
              <w:jc w:val="right"/>
              <w:ind w:right="780"/>
              <w:spacing w:after="0" w:line="166" w:lineRule="exact"/>
              <w:rPr>
                <w:sz w:val="20"/>
                <w:szCs w:val="20"/>
                <w:color w:val="auto"/>
              </w:rPr>
            </w:pPr>
            <w:r>
              <w:rPr>
                <w:rFonts w:ascii="Arial" w:cs="Arial" w:eastAsia="Arial" w:hAnsi="Arial"/>
                <w:sz w:val="16"/>
                <w:szCs w:val="16"/>
                <w:b w:val="1"/>
                <w:bCs w:val="1"/>
                <w:color w:val="auto"/>
                <w:w w:val="93"/>
              </w:rPr>
              <w:t>EQUITY</w:t>
            </w:r>
          </w:p>
        </w:tc>
        <w:tc>
          <w:tcPr>
            <w:tcW w:w="1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to related parties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26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5,237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7,022</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Commitments and contingencies (Notes 10, 11, 14 and 17)</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Convertible preferred stock, $0.01 par value; authorized — 5 shares; issued and outstanding — 1 shares in 2023 and 0 shares</w:t>
            </w: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2022; aggregate liquidation preference of $933 and $0 as of June 30, 2023 and June 30, 2022, respectively</w:t>
            </w: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Common stock, $0.01 par value; authorized — 450 shares; issued and outstanding — 322 shares in 2023 and 315 shares in</w:t>
            </w: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w:t>
            </w: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3,733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9,039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12,221</w:t>
            </w:r>
          </w:p>
        </w:tc>
        <w:tc>
          <w:tcPr>
            <w:tcW w:w="0" w:type="dxa"/>
            <w:vAlign w:val="bottom"/>
          </w:tcPr>
          <w:p>
            <w:pPr>
              <w:spacing w:after="0"/>
              <w:rPr>
                <w:sz w:val="1"/>
                <w:szCs w:val="1"/>
                <w:color w:val="auto"/>
              </w:rPr>
            </w:pPr>
          </w:p>
        </w:tc>
      </w:tr>
      <w:tr>
        <w:trPr>
          <w:trHeight w:val="207"/>
        </w:trPr>
        <w:tc>
          <w:tcPr>
            <w:tcW w:w="8260" w:type="dxa"/>
            <w:vAlign w:val="bottom"/>
          </w:tcPr>
          <w:p>
            <w:pPr>
              <w:ind w:left="220"/>
              <w:spacing w:after="0"/>
              <w:rPr>
                <w:sz w:val="20"/>
                <w:szCs w:val="20"/>
                <w:color w:val="auto"/>
              </w:rPr>
            </w:pPr>
            <w:r>
              <w:rPr>
                <w:rFonts w:ascii="Arial" w:cs="Arial" w:eastAsia="Arial" w:hAnsi="Arial"/>
                <w:sz w:val="16"/>
                <w:szCs w:val="16"/>
                <w:color w:val="auto"/>
              </w:rPr>
              <w:t>Total liabilities, convertible preferred stock and shareholders’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26,259</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33"/>
        </w:trPr>
        <w:tc>
          <w:tcPr>
            <w:tcW w:w="6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380" w:type="dxa"/>
            <w:vAlign w:val="bottom"/>
            <w:gridSpan w:val="2"/>
          </w:tcPr>
          <w:p>
            <w:pPr>
              <w:ind w:left="360"/>
              <w:spacing w:after="0" w:line="13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1"/>
                <w:szCs w:val="11"/>
                <w:color w:val="auto"/>
              </w:rPr>
            </w:pPr>
          </w:p>
        </w:tc>
        <w:tc>
          <w:tcPr>
            <w:tcW w:w="960" w:type="dxa"/>
            <w:vAlign w:val="bottom"/>
          </w:tcPr>
          <w:p>
            <w:pPr>
              <w:jc w:val="right"/>
              <w:ind w:right="320"/>
              <w:spacing w:after="0" w:line="133" w:lineRule="exact"/>
              <w:rPr>
                <w:sz w:val="20"/>
                <w:szCs w:val="20"/>
                <w:color w:val="auto"/>
              </w:rPr>
            </w:pPr>
            <w:r>
              <w:rPr>
                <w:rFonts w:ascii="Arial" w:cs="Arial" w:eastAsia="Arial" w:hAnsi="Arial"/>
                <w:sz w:val="14"/>
                <w:szCs w:val="14"/>
                <w:b w:val="1"/>
                <w:bCs w:val="1"/>
                <w:color w:val="auto"/>
              </w:rPr>
              <w:t>July 2,</w:t>
            </w:r>
          </w:p>
        </w:tc>
      </w:tr>
      <w:tr>
        <w:trPr>
          <w:trHeight w:val="192"/>
        </w:trPr>
        <w:tc>
          <w:tcPr>
            <w:tcW w:w="6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16,922</w:t>
            </w:r>
          </w:p>
        </w:tc>
      </w:tr>
      <w:tr>
        <w:trPr>
          <w:trHeight w:val="21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12,401</w:t>
            </w:r>
          </w:p>
        </w:tc>
      </w:tr>
      <w:tr>
        <w:trPr>
          <w:trHeight w:val="213"/>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4,521</w:t>
            </w:r>
          </w:p>
        </w:tc>
      </w:tr>
      <w:tr>
        <w:trPr>
          <w:trHeight w:val="193"/>
        </w:trPr>
        <w:tc>
          <w:tcPr>
            <w:tcW w:w="69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1,105</w:t>
            </w:r>
          </w:p>
        </w:tc>
      </w:tr>
      <w:tr>
        <w:trPr>
          <w:trHeight w:val="219"/>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7"/>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3,301</w:t>
            </w:r>
          </w:p>
        </w:tc>
      </w:tr>
      <w:tr>
        <w:trPr>
          <w:trHeight w:val="21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Interest and other income: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9"/>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6"/>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other income, net</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r>
        <w:trPr>
          <w:trHeight w:val="21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1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207"/>
        </w:trPr>
        <w:tc>
          <w:tcPr>
            <w:tcW w:w="6960" w:type="dxa"/>
            <w:vAlign w:val="bottom"/>
          </w:tcPr>
          <w:p>
            <w:pPr>
              <w:ind w:left="20"/>
              <w:spacing w:after="0"/>
              <w:rPr>
                <w:sz w:val="20"/>
                <w:szCs w:val="20"/>
                <w:color w:val="auto"/>
              </w:rPr>
            </w:pPr>
            <w:r>
              <w:rPr>
                <w:rFonts w:ascii="Arial" w:cs="Arial" w:eastAsia="Arial" w:hAnsi="Arial"/>
                <w:sz w:val="16"/>
                <w:szCs w:val="16"/>
                <w:color w:val="auto"/>
              </w:rPr>
              <w:t>Less: cumulative dividends allocated to preferred shareholders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shareholders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per common share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9"/>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10"/>
        </w:trPr>
        <w:tc>
          <w:tcPr>
            <w:tcW w:w="6960" w:type="dxa"/>
            <w:vAlign w:val="bottom"/>
          </w:tcPr>
          <w:p>
            <w:pPr>
              <w:ind w:left="14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w:t>
            </w: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WESTERN DIGITAL CORPORATION CONSOLIDATED STATEMENTS OF COMPREHENSIVE INCOME (LOSS)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33"/>
        </w:trPr>
        <w:tc>
          <w:tcPr>
            <w:tcW w:w="6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380" w:type="dxa"/>
            <w:vAlign w:val="bottom"/>
            <w:gridSpan w:val="2"/>
          </w:tcPr>
          <w:p>
            <w:pPr>
              <w:ind w:left="360"/>
              <w:spacing w:after="0" w:line="13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1"/>
                <w:szCs w:val="11"/>
                <w:color w:val="auto"/>
              </w:rPr>
            </w:pPr>
          </w:p>
        </w:tc>
        <w:tc>
          <w:tcPr>
            <w:tcW w:w="960" w:type="dxa"/>
            <w:vAlign w:val="bottom"/>
          </w:tcPr>
          <w:p>
            <w:pPr>
              <w:jc w:val="right"/>
              <w:ind w:right="321"/>
              <w:spacing w:after="0" w:line="133" w:lineRule="exact"/>
              <w:rPr>
                <w:sz w:val="20"/>
                <w:szCs w:val="20"/>
                <w:color w:val="auto"/>
              </w:rPr>
            </w:pPr>
            <w:r>
              <w:rPr>
                <w:rFonts w:ascii="Arial" w:cs="Arial" w:eastAsia="Arial" w:hAnsi="Arial"/>
                <w:sz w:val="14"/>
                <w:szCs w:val="14"/>
                <w:b w:val="1"/>
                <w:bCs w:val="1"/>
                <w:color w:val="auto"/>
              </w:rPr>
              <w:t>July 2,</w:t>
            </w:r>
          </w:p>
        </w:tc>
      </w:tr>
      <w:tr>
        <w:trPr>
          <w:trHeight w:val="192"/>
        </w:trPr>
        <w:tc>
          <w:tcPr>
            <w:tcW w:w="6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Other comprehensive gain (loss), before tax:</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Actuarial pension gain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unrealized gain (loss) on derivative contracts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6"/>
        </w:trPr>
        <w:tc>
          <w:tcPr>
            <w:tcW w:w="6960" w:type="dxa"/>
            <w:vAlign w:val="bottom"/>
          </w:tcPr>
          <w:p>
            <w:pPr>
              <w:ind w:left="220"/>
              <w:spacing w:after="0"/>
              <w:rPr>
                <w:sz w:val="20"/>
                <w:szCs w:val="20"/>
                <w:color w:val="auto"/>
              </w:rPr>
            </w:pPr>
            <w:r>
              <w:rPr>
                <w:rFonts w:ascii="Arial" w:cs="Arial" w:eastAsia="Arial" w:hAnsi="Arial"/>
                <w:sz w:val="16"/>
                <w:szCs w:val="16"/>
                <w:color w:val="auto"/>
              </w:rPr>
              <w:t>Total other comprehensive gain (loss), before tax</w:t>
            </w:r>
          </w:p>
        </w:tc>
        <w:tc>
          <w:tcPr>
            <w:tcW w:w="28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 related to items of other comprehensive gain (loss), before tax</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gain (loss), net of tax</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3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3"/>
        </w:trPr>
        <w:tc>
          <w:tcPr>
            <w:tcW w:w="67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July 1,</w:t>
            </w:r>
          </w:p>
        </w:tc>
        <w:tc>
          <w:tcPr>
            <w:tcW w:w="300" w:type="dxa"/>
            <w:vAlign w:val="bottom"/>
          </w:tcPr>
          <w:p>
            <w:pPr>
              <w:spacing w:after="0"/>
              <w:rPr>
                <w:sz w:val="11"/>
                <w:szCs w:val="11"/>
                <w:color w:val="auto"/>
              </w:rPr>
            </w:pPr>
          </w:p>
        </w:tc>
        <w:tc>
          <w:tcPr>
            <w:tcW w:w="1140" w:type="dxa"/>
            <w:vAlign w:val="bottom"/>
          </w:tcPr>
          <w:p>
            <w:pPr>
              <w:jc w:val="right"/>
              <w:ind w:right="448"/>
              <w:spacing w:after="0" w:line="133" w:lineRule="exact"/>
              <w:rPr>
                <w:sz w:val="20"/>
                <w:szCs w:val="20"/>
                <w:color w:val="auto"/>
              </w:rPr>
            </w:pPr>
            <w:r>
              <w:rPr>
                <w:rFonts w:ascii="Arial" w:cs="Arial" w:eastAsia="Arial" w:hAnsi="Arial"/>
                <w:sz w:val="14"/>
                <w:szCs w:val="14"/>
                <w:b w:val="1"/>
                <w:bCs w:val="1"/>
                <w:color w:val="auto"/>
              </w:rPr>
              <w:t>July 2,</w:t>
            </w:r>
          </w:p>
        </w:tc>
      </w:tr>
      <w:tr>
        <w:trPr>
          <w:trHeight w:val="192"/>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2"/>
        </w:trPr>
        <w:tc>
          <w:tcPr>
            <w:tcW w:w="6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4"/>
              </w:rPr>
              <w:t>(1,706)</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821</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2"/>
        </w:trPr>
        <w:tc>
          <w:tcPr>
            <w:tcW w:w="67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1,212</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82"/>
        </w:trPr>
        <w:tc>
          <w:tcPr>
            <w:tcW w:w="674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Gain on disposal of assets</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82"/>
        </w:trPr>
        <w:tc>
          <w:tcPr>
            <w:tcW w:w="6740" w:type="dxa"/>
            <w:vAlign w:val="bottom"/>
          </w:tcPr>
          <w:p>
            <w:pPr>
              <w:ind w:left="140"/>
              <w:spacing w:after="0"/>
              <w:rPr>
                <w:sz w:val="20"/>
                <w:szCs w:val="20"/>
                <w:color w:val="auto"/>
              </w:rPr>
            </w:pPr>
            <w:r>
              <w:rPr>
                <w:rFonts w:ascii="Arial" w:cs="Arial" w:eastAsia="Arial" w:hAnsi="Arial"/>
                <w:sz w:val="14"/>
                <w:szCs w:val="14"/>
                <w:color w:val="auto"/>
              </w:rPr>
              <w:t>Non-cash portion of asset impairment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Gain on business divestiture</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740" w:type="dxa"/>
            <w:vAlign w:val="bottom"/>
          </w:tcPr>
          <w:p>
            <w:pPr>
              <w:ind w:left="140"/>
              <w:spacing w:after="0"/>
              <w:rPr>
                <w:sz w:val="20"/>
                <w:szCs w:val="20"/>
                <w:color w:val="auto"/>
              </w:rPr>
            </w:pPr>
            <w:r>
              <w:rPr>
                <w:rFonts w:ascii="Arial" w:cs="Arial" w:eastAsia="Arial" w:hAnsi="Arial"/>
                <w:sz w:val="14"/>
                <w:szCs w:val="14"/>
                <w:color w:val="auto"/>
              </w:rPr>
              <w:t>Amortization of debt issuance costs and discounts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non-cash operating activities, net</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2"/>
        </w:trPr>
        <w:tc>
          <w:tcPr>
            <w:tcW w:w="6740" w:type="dxa"/>
            <w:vAlign w:val="bottom"/>
          </w:tcPr>
          <w:p>
            <w:pPr>
              <w:ind w:left="140"/>
              <w:spacing w:after="0"/>
              <w:rPr>
                <w:sz w:val="20"/>
                <w:szCs w:val="20"/>
                <w:color w:val="auto"/>
              </w:rPr>
            </w:pPr>
            <w:r>
              <w:rPr>
                <w:rFonts w:ascii="Arial" w:cs="Arial" w:eastAsia="Arial" w:hAnsi="Arial"/>
                <w:sz w:val="14"/>
                <w:szCs w:val="14"/>
                <w:color w:val="auto"/>
              </w:rPr>
              <w:t>Changes in:</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82"/>
        </w:trPr>
        <w:tc>
          <w:tcPr>
            <w:tcW w:w="67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(546)</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2"/>
        </w:trPr>
        <w:tc>
          <w:tcPr>
            <w:tcW w:w="6740" w:type="dxa"/>
            <w:vAlign w:val="bottom"/>
          </w:tcPr>
          <w:p>
            <w:pPr>
              <w:ind w:left="220"/>
              <w:spacing w:after="0"/>
              <w:rPr>
                <w:sz w:val="20"/>
                <w:szCs w:val="20"/>
                <w:color w:val="auto"/>
              </w:rPr>
            </w:pPr>
            <w:r>
              <w:rPr>
                <w:rFonts w:ascii="Arial" w:cs="Arial" w:eastAsia="Arial" w:hAnsi="Arial"/>
                <w:sz w:val="14"/>
                <w:szCs w:val="14"/>
                <w:color w:val="auto"/>
              </w:rPr>
              <w:t>Accounts payable to related parties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r>
      <w:tr>
        <w:trPr>
          <w:trHeight w:val="182"/>
        </w:trPr>
        <w:tc>
          <w:tcPr>
            <w:tcW w:w="6740" w:type="dxa"/>
            <w:vAlign w:val="bottom"/>
          </w:tcPr>
          <w:p>
            <w:pPr>
              <w:ind w:left="220"/>
              <w:spacing w:after="0"/>
              <w:rPr>
                <w:sz w:val="20"/>
                <w:szCs w:val="20"/>
                <w:color w:val="auto"/>
              </w:rPr>
            </w:pPr>
            <w:r>
              <w:rPr>
                <w:rFonts w:ascii="Arial" w:cs="Arial" w:eastAsia="Arial" w:hAnsi="Arial"/>
                <w:sz w:val="14"/>
                <w:szCs w:val="14"/>
                <w:color w:val="auto"/>
              </w:rPr>
              <w:t>Income taxes payable</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82"/>
        </w:trPr>
        <w:tc>
          <w:tcPr>
            <w:tcW w:w="6740" w:type="dxa"/>
            <w:vAlign w:val="bottom"/>
          </w:tcPr>
          <w:p>
            <w:pPr>
              <w:ind w:left="220"/>
              <w:spacing w:after="0"/>
              <w:rPr>
                <w:sz w:val="20"/>
                <w:szCs w:val="20"/>
                <w:color w:val="auto"/>
              </w:rPr>
            </w:pPr>
            <w:r>
              <w:rPr>
                <w:rFonts w:ascii="Arial" w:cs="Arial" w:eastAsia="Arial" w:hAnsi="Arial"/>
                <w:sz w:val="14"/>
                <w:szCs w:val="14"/>
                <w:color w:val="auto"/>
              </w:rPr>
              <w:t>Other assets and liabilities, net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provided by (used in) operating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1,898</w:t>
            </w:r>
          </w:p>
        </w:tc>
      </w:tr>
      <w:tr>
        <w:trPr>
          <w:trHeight w:val="17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19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9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w:t>
            </w:r>
          </w:p>
        </w:tc>
      </w:tr>
      <w:tr>
        <w:trPr>
          <w:trHeight w:val="182"/>
        </w:trPr>
        <w:tc>
          <w:tcPr>
            <w:tcW w:w="6740" w:type="dxa"/>
            <w:vAlign w:val="bottom"/>
          </w:tcPr>
          <w:p>
            <w:pPr>
              <w:ind w:left="20"/>
              <w:spacing w:after="0"/>
              <w:rPr>
                <w:sz w:val="20"/>
                <w:szCs w:val="20"/>
                <w:color w:val="auto"/>
              </w:rPr>
            </w:pPr>
            <w:r>
              <w:rPr>
                <w:rFonts w:ascii="Arial" w:cs="Arial" w:eastAsia="Arial" w:hAnsi="Arial"/>
                <w:sz w:val="14"/>
                <w:szCs w:val="14"/>
                <w:color w:val="auto"/>
              </w:rPr>
              <w:t>Proceeds from the sale of property, plant and equipment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dispositions of business</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740" w:type="dxa"/>
            <w:vAlign w:val="bottom"/>
          </w:tcPr>
          <w:p>
            <w:pPr>
              <w:ind w:left="20"/>
              <w:spacing w:after="0"/>
              <w:rPr>
                <w:sz w:val="20"/>
                <w:szCs w:val="20"/>
                <w:color w:val="auto"/>
              </w:rPr>
            </w:pPr>
            <w:r>
              <w:rPr>
                <w:rFonts w:ascii="Arial" w:cs="Arial" w:eastAsia="Arial" w:hAnsi="Arial"/>
                <w:sz w:val="14"/>
                <w:szCs w:val="14"/>
                <w:color w:val="auto"/>
              </w:rPr>
              <w:t>Notes receivable issuances to Flash Ventures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(541)</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Notes receivable proceeds from Flash Ventures</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w:t>
            </w:r>
          </w:p>
        </w:tc>
      </w:tr>
      <w:tr>
        <w:trPr>
          <w:trHeight w:val="182"/>
        </w:trPr>
        <w:tc>
          <w:tcPr>
            <w:tcW w:w="6740" w:type="dxa"/>
            <w:vAlign w:val="bottom"/>
          </w:tcPr>
          <w:p>
            <w:pPr>
              <w:ind w:left="20"/>
              <w:spacing w:after="0"/>
              <w:rPr>
                <w:sz w:val="20"/>
                <w:szCs w:val="20"/>
                <w:color w:val="auto"/>
              </w:rPr>
            </w:pPr>
            <w:r>
              <w:rPr>
                <w:rFonts w:ascii="Arial" w:cs="Arial" w:eastAsia="Arial" w:hAnsi="Arial"/>
                <w:sz w:val="14"/>
                <w:szCs w:val="14"/>
                <w:color w:val="auto"/>
              </w:rPr>
              <w:t>Strategic investments and other, net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(765)</w:t>
            </w:r>
          </w:p>
        </w:tc>
      </w:tr>
      <w:tr>
        <w:trPr>
          <w:trHeight w:val="17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19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stock under employee stock plans</w:t>
            </w:r>
          </w:p>
        </w:tc>
        <w:tc>
          <w:tcPr>
            <w:tcW w:w="9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82"/>
        </w:trPr>
        <w:tc>
          <w:tcPr>
            <w:tcW w:w="6740" w:type="dxa"/>
            <w:vAlign w:val="bottom"/>
          </w:tcPr>
          <w:p>
            <w:pPr>
              <w:ind w:left="20"/>
              <w:spacing w:after="0"/>
              <w:rPr>
                <w:sz w:val="20"/>
                <w:szCs w:val="20"/>
                <w:color w:val="auto"/>
              </w:rPr>
            </w:pPr>
            <w:r>
              <w:rPr>
                <w:rFonts w:ascii="Arial" w:cs="Arial" w:eastAsia="Arial" w:hAnsi="Arial"/>
                <w:sz w:val="14"/>
                <w:szCs w:val="14"/>
                <w:color w:val="auto"/>
              </w:rPr>
              <w:t>Taxes paid on vested stock awards under employee stock plans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proceeds from convertible preferred stock</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740" w:type="dxa"/>
            <w:vAlign w:val="bottom"/>
          </w:tcPr>
          <w:p>
            <w:pPr>
              <w:ind w:left="20"/>
              <w:spacing w:after="0"/>
              <w:rPr>
                <w:sz w:val="20"/>
                <w:szCs w:val="20"/>
                <w:color w:val="auto"/>
              </w:rPr>
            </w:pPr>
            <w:r>
              <w:rPr>
                <w:rFonts w:ascii="Arial" w:cs="Arial" w:eastAsia="Arial" w:hAnsi="Arial"/>
                <w:sz w:val="14"/>
                <w:szCs w:val="14"/>
                <w:color w:val="auto"/>
              </w:rPr>
              <w:t>Repayment of government grants</w:t>
            </w:r>
          </w:p>
        </w:tc>
        <w:tc>
          <w:tcPr>
            <w:tcW w:w="9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(1,180)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w:t>
            </w:r>
          </w:p>
        </w:tc>
      </w:tr>
      <w:tr>
        <w:trPr>
          <w:trHeight w:val="182"/>
        </w:trPr>
        <w:tc>
          <w:tcPr>
            <w:tcW w:w="6740" w:type="dxa"/>
            <w:vAlign w:val="bottom"/>
          </w:tcPr>
          <w:p>
            <w:pPr>
              <w:ind w:left="20"/>
              <w:spacing w:after="0"/>
              <w:rPr>
                <w:sz w:val="20"/>
                <w:szCs w:val="20"/>
                <w:color w:val="auto"/>
              </w:rPr>
            </w:pPr>
            <w:r>
              <w:rPr>
                <w:rFonts w:ascii="Arial" w:cs="Arial" w:eastAsia="Arial" w:hAnsi="Arial"/>
                <w:sz w:val="14"/>
                <w:szCs w:val="14"/>
                <w:color w:val="auto"/>
              </w:rPr>
              <w:t>Proceeds from debt issuance</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Debt issuance costs</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740" w:type="dxa"/>
            <w:vAlign w:val="bottom"/>
          </w:tcPr>
          <w:p>
            <w:pPr>
              <w:ind w:left="360"/>
              <w:spacing w:after="0"/>
              <w:rPr>
                <w:sz w:val="20"/>
                <w:szCs w:val="20"/>
                <w:color w:val="auto"/>
              </w:rPr>
            </w:pPr>
            <w:r>
              <w:rPr>
                <w:rFonts w:ascii="Arial" w:cs="Arial" w:eastAsia="Arial" w:hAnsi="Arial"/>
                <w:sz w:val="14"/>
                <w:szCs w:val="14"/>
                <w:color w:val="auto"/>
              </w:rPr>
              <w:t>Net cash provided by (used in) financing activities</w:t>
            </w:r>
          </w:p>
        </w:tc>
        <w:tc>
          <w:tcPr>
            <w:tcW w:w="9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(1,718)</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76"/>
        </w:trPr>
        <w:tc>
          <w:tcPr>
            <w:tcW w:w="674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9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3,048</w:t>
            </w:r>
          </w:p>
        </w:tc>
      </w:tr>
      <w:tr>
        <w:trPr>
          <w:trHeight w:val="196"/>
        </w:trPr>
        <w:tc>
          <w:tcPr>
            <w:tcW w:w="6740" w:type="dxa"/>
            <w:vAlign w:val="bottom"/>
          </w:tcPr>
          <w:p>
            <w:pPr>
              <w:ind w:left="20"/>
              <w:spacing w:after="0"/>
              <w:rPr>
                <w:sz w:val="20"/>
                <w:szCs w:val="20"/>
                <w:color w:val="auto"/>
              </w:rPr>
            </w:pPr>
            <w:r>
              <w:rPr>
                <w:rFonts w:ascii="Arial" w:cs="Arial" w:eastAsia="Arial" w:hAnsi="Arial"/>
                <w:sz w:val="14"/>
                <w:szCs w:val="14"/>
                <w:color w:val="auto"/>
              </w:rPr>
              <w:t>Cash and cash equivalents, end of year</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3,370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2"/>
        </w:trPr>
        <w:tc>
          <w:tcPr>
            <w:tcW w:w="674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348</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w:t>
            </w:r>
          </w:p>
        </w:tc>
      </w:tr>
      <w:tr>
        <w:trPr>
          <w:trHeight w:val="182"/>
        </w:trPr>
        <w:tc>
          <w:tcPr>
            <w:tcW w:w="6740" w:type="dxa"/>
            <w:vAlign w:val="bottom"/>
          </w:tcPr>
          <w:p>
            <w:pPr>
              <w:ind w:left="20"/>
              <w:spacing w:after="0"/>
              <w:rPr>
                <w:sz w:val="20"/>
                <w:szCs w:val="20"/>
                <w:color w:val="auto"/>
              </w:rPr>
            </w:pPr>
            <w:r>
              <w:rPr>
                <w:rFonts w:ascii="Arial" w:cs="Arial" w:eastAsia="Arial" w:hAnsi="Arial"/>
                <w:sz w:val="14"/>
                <w:szCs w:val="14"/>
                <w:color w:val="auto"/>
              </w:rPr>
              <w:t>Noncash exchange of Term Loan A-1 for Term Loan A-2</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CONVERTIBLE PREFERRED STOCK AND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6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4"/>
              </w:rPr>
              <w:t>Convertible Preferred</w:t>
            </w:r>
          </w:p>
        </w:tc>
        <w:tc>
          <w:tcPr>
            <w:tcW w:w="80" w:type="dxa"/>
            <w:vAlign w:val="bottom"/>
          </w:tcPr>
          <w:p>
            <w:pPr>
              <w:spacing w:after="0"/>
              <w:rPr>
                <w:sz w:val="14"/>
                <w:szCs w:val="14"/>
                <w:color w:val="auto"/>
              </w:rPr>
            </w:pPr>
          </w:p>
        </w:tc>
        <w:tc>
          <w:tcPr>
            <w:tcW w:w="162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164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620" w:type="dxa"/>
            <w:vAlign w:val="bottom"/>
            <w:tcBorders>
              <w:right w:val="single" w:sz="8" w:color="auto"/>
            </w:tcBorders>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5"/>
                <w:szCs w:val="5"/>
                <w:color w:val="auto"/>
              </w:rPr>
            </w:pPr>
          </w:p>
        </w:tc>
        <w:tc>
          <w:tcPr>
            <w:tcW w:w="88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5"/>
                <w:szCs w:val="5"/>
                <w:color w:val="auto"/>
              </w:rPr>
            </w:pPr>
          </w:p>
        </w:tc>
        <w:tc>
          <w:tcPr>
            <w:tcW w:w="104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2"/>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3, 2020</w:t>
            </w:r>
          </w:p>
        </w:tc>
        <w:tc>
          <w:tcPr>
            <w:tcW w:w="7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9,551</w:t>
            </w:r>
          </w:p>
        </w:tc>
        <w:tc>
          <w:tcPr>
            <w:tcW w:w="0" w:type="dxa"/>
            <w:vAlign w:val="bottom"/>
          </w:tcPr>
          <w:p>
            <w:pPr>
              <w:spacing w:after="0"/>
              <w:rPr>
                <w:sz w:val="1"/>
                <w:szCs w:val="1"/>
                <w:color w:val="auto"/>
              </w:rPr>
            </w:pPr>
          </w:p>
        </w:tc>
      </w:tr>
      <w:tr>
        <w:trPr>
          <w:trHeight w:val="182"/>
        </w:trPr>
        <w:tc>
          <w:tcPr>
            <w:tcW w:w="17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Adoption of new</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accounting standard</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20" w:type="dxa"/>
            <w:vAlign w:val="bottom"/>
          </w:tcPr>
          <w:p>
            <w:pPr>
              <w:ind w:left="140"/>
              <w:spacing w:after="0"/>
              <w:rPr>
                <w:sz w:val="20"/>
                <w:szCs w:val="20"/>
                <w:color w:val="auto"/>
              </w:rPr>
            </w:pPr>
            <w:r>
              <w:rPr>
                <w:rFonts w:ascii="Arial" w:cs="Arial" w:eastAsia="Arial" w:hAnsi="Arial"/>
                <w:sz w:val="14"/>
                <w:szCs w:val="14"/>
                <w:color w:val="auto"/>
              </w:rPr>
              <w:t>Employee stock plans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2"/>
              </w:rPr>
              <w:t>Stock-based compensation</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82"/>
        </w:trPr>
        <w:tc>
          <w:tcPr>
            <w:tcW w:w="1720" w:type="dxa"/>
            <w:vAlign w:val="bottom"/>
          </w:tcPr>
          <w:p>
            <w:pPr>
              <w:ind w:left="140"/>
              <w:spacing w:after="0"/>
              <w:rPr>
                <w:sz w:val="20"/>
                <w:szCs w:val="20"/>
                <w:color w:val="auto"/>
              </w:rPr>
            </w:pPr>
            <w:r>
              <w:rPr>
                <w:rFonts w:ascii="Arial" w:cs="Arial" w:eastAsia="Arial" w:hAnsi="Arial"/>
                <w:sz w:val="14"/>
                <w:szCs w:val="14"/>
                <w:color w:val="auto"/>
              </w:rPr>
              <w:t>Actuarial pension gain</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Foreign currency</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20" w:type="dxa"/>
            <w:vAlign w:val="bottom"/>
          </w:tcPr>
          <w:p>
            <w:pPr>
              <w:ind w:left="140"/>
              <w:spacing w:after="0" w:line="143" w:lineRule="exact"/>
              <w:rPr>
                <w:sz w:val="20"/>
                <w:szCs w:val="20"/>
                <w:color w:val="auto"/>
              </w:rPr>
            </w:pPr>
            <w:r>
              <w:rPr>
                <w:rFonts w:ascii="Arial" w:cs="Arial" w:eastAsia="Arial" w:hAnsi="Arial"/>
                <w:sz w:val="14"/>
                <w:szCs w:val="14"/>
                <w:color w:val="auto"/>
              </w:rPr>
              <w:t>Net unrealized loss on</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8"/>
        </w:trPr>
        <w:tc>
          <w:tcPr>
            <w:tcW w:w="1720" w:type="dxa"/>
            <w:vAlign w:val="bottom"/>
          </w:tcPr>
          <w:p>
            <w:pPr>
              <w:ind w:left="140"/>
              <w:spacing w:after="0"/>
              <w:rPr>
                <w:sz w:val="20"/>
                <w:szCs w:val="20"/>
                <w:color w:val="auto"/>
              </w:rPr>
            </w:pPr>
            <w:r>
              <w:rPr>
                <w:rFonts w:ascii="Arial" w:cs="Arial" w:eastAsia="Arial" w:hAnsi="Arial"/>
                <w:sz w:val="14"/>
                <w:szCs w:val="14"/>
                <w:color w:val="auto"/>
              </w:rPr>
              <w:t>derivative contracts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2, 2021</w:t>
            </w:r>
          </w:p>
        </w:tc>
        <w:tc>
          <w:tcPr>
            <w:tcW w:w="7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7,539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10,721</w:t>
            </w:r>
          </w:p>
        </w:tc>
        <w:tc>
          <w:tcPr>
            <w:tcW w:w="0" w:type="dxa"/>
            <w:vAlign w:val="bottom"/>
          </w:tcPr>
          <w:p>
            <w:pPr>
              <w:spacing w:after="0"/>
              <w:rPr>
                <w:sz w:val="1"/>
                <w:szCs w:val="1"/>
                <w:color w:val="auto"/>
              </w:rPr>
            </w:pPr>
          </w:p>
        </w:tc>
      </w:tr>
      <w:tr>
        <w:trPr>
          <w:trHeight w:val="182"/>
        </w:trPr>
        <w:tc>
          <w:tcPr>
            <w:tcW w:w="17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Employee stock plans</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2"/>
        </w:trPr>
        <w:tc>
          <w:tcPr>
            <w:tcW w:w="1720" w:type="dxa"/>
            <w:vAlign w:val="bottom"/>
          </w:tcPr>
          <w:p>
            <w:pPr>
              <w:ind w:left="140"/>
              <w:spacing w:after="0"/>
              <w:rPr>
                <w:sz w:val="20"/>
                <w:szCs w:val="20"/>
                <w:color w:val="auto"/>
              </w:rPr>
            </w:pPr>
            <w:r>
              <w:rPr>
                <w:rFonts w:ascii="Arial" w:cs="Arial" w:eastAsia="Arial" w:hAnsi="Arial"/>
                <w:sz w:val="14"/>
                <w:szCs w:val="14"/>
                <w:color w:val="auto"/>
                <w:w w:val="92"/>
              </w:rPr>
              <w:t>Stock-based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Actuarial pension gain</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3"/>
        </w:trPr>
        <w:tc>
          <w:tcPr>
            <w:tcW w:w="1720" w:type="dxa"/>
            <w:vAlign w:val="bottom"/>
          </w:tcPr>
          <w:p>
            <w:pPr>
              <w:ind w:left="140"/>
              <w:spacing w:after="0" w:line="143" w:lineRule="exact"/>
              <w:rPr>
                <w:sz w:val="20"/>
                <w:szCs w:val="20"/>
                <w:color w:val="auto"/>
              </w:rPr>
            </w:pPr>
            <w:r>
              <w:rPr>
                <w:rFonts w:ascii="Arial" w:cs="Arial" w:eastAsia="Arial" w:hAnsi="Arial"/>
                <w:sz w:val="14"/>
                <w:szCs w:val="14"/>
                <w:color w:val="auto"/>
              </w:rPr>
              <w:t>Foreign currency</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8"/>
        </w:trPr>
        <w:tc>
          <w:tcPr>
            <w:tcW w:w="1720" w:type="dxa"/>
            <w:vAlign w:val="bottom"/>
          </w:tcPr>
          <w:p>
            <w:pPr>
              <w:ind w:left="140"/>
              <w:spacing w:after="0"/>
              <w:rPr>
                <w:sz w:val="20"/>
                <w:szCs w:val="20"/>
                <w:color w:val="auto"/>
              </w:rPr>
            </w:pPr>
            <w:r>
              <w:rPr>
                <w:rFonts w:ascii="Arial" w:cs="Arial" w:eastAsia="Arial" w:hAnsi="Arial"/>
                <w:sz w:val="14"/>
                <w:szCs w:val="14"/>
                <w:color w:val="auto"/>
              </w:rPr>
              <w:t>translation adjustment</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unrealized loss on</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derivative contracts</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Balance at July 1, 2022</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9,039</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12,221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0" w:type="dxa"/>
            <w:vAlign w:val="bottom"/>
          </w:tcPr>
          <w:p>
            <w:pPr>
              <w:spacing w:after="0"/>
              <w:rPr>
                <w:sz w:val="1"/>
                <w:szCs w:val="1"/>
                <w:color w:val="auto"/>
              </w:rPr>
            </w:pPr>
          </w:p>
        </w:tc>
      </w:tr>
      <w:tr>
        <w:trPr>
          <w:trHeight w:val="143"/>
        </w:trPr>
        <w:tc>
          <w:tcPr>
            <w:tcW w:w="1720" w:type="dxa"/>
            <w:vAlign w:val="bottom"/>
          </w:tcPr>
          <w:p>
            <w:pPr>
              <w:ind w:left="140"/>
              <w:spacing w:after="0" w:line="143" w:lineRule="exact"/>
              <w:rPr>
                <w:sz w:val="20"/>
                <w:szCs w:val="20"/>
                <w:color w:val="auto"/>
              </w:rPr>
            </w:pPr>
            <w:r>
              <w:rPr>
                <w:rFonts w:ascii="Arial" w:cs="Arial" w:eastAsia="Arial" w:hAnsi="Arial"/>
                <w:sz w:val="14"/>
                <w:szCs w:val="14"/>
                <w:color w:val="auto"/>
              </w:rPr>
              <w:t>Adoption of new</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8"/>
        </w:trPr>
        <w:tc>
          <w:tcPr>
            <w:tcW w:w="1720" w:type="dxa"/>
            <w:vAlign w:val="bottom"/>
          </w:tcPr>
          <w:p>
            <w:pPr>
              <w:ind w:left="140"/>
              <w:spacing w:after="0"/>
              <w:rPr>
                <w:sz w:val="20"/>
                <w:szCs w:val="20"/>
                <w:color w:val="auto"/>
              </w:rPr>
            </w:pPr>
            <w:r>
              <w:rPr>
                <w:rFonts w:ascii="Arial" w:cs="Arial" w:eastAsia="Arial" w:hAnsi="Arial"/>
                <w:sz w:val="14"/>
                <w:szCs w:val="14"/>
                <w:color w:val="auto"/>
              </w:rPr>
              <w:t>accounting standard</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Employee stock plans</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2"/>
        </w:trPr>
        <w:tc>
          <w:tcPr>
            <w:tcW w:w="1720" w:type="dxa"/>
            <w:vAlign w:val="bottom"/>
          </w:tcPr>
          <w:p>
            <w:pPr>
              <w:ind w:left="140"/>
              <w:spacing w:after="0"/>
              <w:rPr>
                <w:sz w:val="20"/>
                <w:szCs w:val="20"/>
                <w:color w:val="auto"/>
              </w:rPr>
            </w:pPr>
            <w:r>
              <w:rPr>
                <w:rFonts w:ascii="Arial" w:cs="Arial" w:eastAsia="Arial" w:hAnsi="Arial"/>
                <w:sz w:val="14"/>
                <w:szCs w:val="14"/>
                <w:color w:val="auto"/>
                <w:w w:val="92"/>
              </w:rPr>
              <w:t>Stock-based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convertible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2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preferred stock, net of</w:t>
            </w: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 costs</w:t>
            </w: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20" w:type="dxa"/>
            <w:vAlign w:val="bottom"/>
          </w:tcPr>
          <w:p>
            <w:pPr>
              <w:ind w:left="140"/>
              <w:spacing w:after="0"/>
              <w:rPr>
                <w:sz w:val="20"/>
                <w:szCs w:val="20"/>
                <w:color w:val="auto"/>
              </w:rPr>
            </w:pPr>
            <w:r>
              <w:rPr>
                <w:rFonts w:ascii="Arial" w:cs="Arial" w:eastAsia="Arial" w:hAnsi="Arial"/>
                <w:sz w:val="14"/>
                <w:szCs w:val="14"/>
                <w:color w:val="auto"/>
              </w:rPr>
              <w:t>Actuarial pension gain</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Foreign currency</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20" w:type="dxa"/>
            <w:vAlign w:val="bottom"/>
          </w:tcPr>
          <w:p>
            <w:pPr>
              <w:ind w:left="140"/>
              <w:spacing w:after="0" w:line="143" w:lineRule="exact"/>
              <w:rPr>
                <w:sz w:val="20"/>
                <w:szCs w:val="20"/>
                <w:color w:val="auto"/>
              </w:rPr>
            </w:pPr>
            <w:r>
              <w:rPr>
                <w:rFonts w:ascii="Arial" w:cs="Arial" w:eastAsia="Arial" w:hAnsi="Arial"/>
                <w:sz w:val="14"/>
                <w:szCs w:val="14"/>
                <w:color w:val="auto"/>
              </w:rPr>
              <w:t>Net unrealized gain on</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8"/>
        </w:trPr>
        <w:tc>
          <w:tcPr>
            <w:tcW w:w="1720" w:type="dxa"/>
            <w:vAlign w:val="bottom"/>
          </w:tcPr>
          <w:p>
            <w:pPr>
              <w:ind w:left="140"/>
              <w:spacing w:after="0"/>
              <w:rPr>
                <w:sz w:val="20"/>
                <w:szCs w:val="20"/>
                <w:color w:val="auto"/>
              </w:rPr>
            </w:pPr>
            <w:r>
              <w:rPr>
                <w:rFonts w:ascii="Arial" w:cs="Arial" w:eastAsia="Arial" w:hAnsi="Arial"/>
                <w:sz w:val="14"/>
                <w:szCs w:val="14"/>
                <w:color w:val="auto"/>
              </w:rPr>
              <w:t>derivative contracts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43"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based on both NAND flash and hard disk drive technologies.</w:t>
      </w:r>
    </w:p>
    <w:p>
      <w:pPr>
        <w:spacing w:after="0" w:line="21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Company’s broad portfolio of technology and products address the following key end markets: Cloud, Client and Consumer. The Company also generates immaterial license and royalty revenue from its extensive intellectual property (“IP”) portfolio, which is included in each of these three end market categories.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5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Company’s fiscal year ends on the Friday nearest to June 30 and typically consists of 52 weeks. Approximately every five to six years, the Company reports a 53-week fiscal year to align the fiscal year with the foregoing policy. Fiscal years 2023, 2022, and 2021, which ended on June 30, 2023, July 1, 2022 and July 2, 2021, respectively, are comprised of 52 weeks, with all quarters presented consisting of 13 weeks. Unless otherwise indicated, references herein to specific years and quarters are to fiscal years and fiscal quarters, and references to financial information are on a consolidated basis.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Segment Reporting</w:t>
      </w:r>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Company manufactures, markets, and sells data storage devices and solutions in the U.S. and in foreign countries through its sales personnel, dealers, distributors, retailers, and subsidiaries. The Company manages and reports under two reportable segments: flash-based products (“Flash”) and hard disk drives (“HDD”).</w:t>
      </w:r>
    </w:p>
    <w:p>
      <w:pPr>
        <w:spacing w:after="0" w:line="197"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The Chief Executive Officer, who is the Company’s Chief Operating Decision Maker (“CODM”), evaluates the performance of the Company and makes decisions regarding the allocation of resources based on each operating segment’s net revenue and gross margin. Because of the integrated nature of the Company’s production and distribution activities, separate segment asset measures are either not available or not used as a basis for the CODM to evaluate the performance of or to allocate resources to the segments.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Consolidation</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and its wholly-owned subsidiaries. All significant intercompany accounts and transactions have been eliminated in consolidation. The functional currency of most of the Company’s foreign subsidiaries is the U.S. dollar. The accounts of these foreign subsidiaries have been remeasured using the U.S. dollar as the functional currency. Gains or losses resulting from the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loss, a component of shareholders’ equity.</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current macroeconomic conditions. However, actual results could differ materially from these estimates.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Equivalents</w:t>
      </w:r>
    </w:p>
    <w:p>
      <w:pPr>
        <w:spacing w:after="0" w:line="252"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Company’s cash equivalents represent highly liquid investments in money market funds, which are invested in U.S. Treasury securities and U.S. Government agency securities as well as bank certificates of deposit with original maturities at purchase of three months or less. These deposits are typically in excess of U.S. insured limits. Cash equivalents are carried at cost plus accrued interest, which approximates fair value.</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Investments</w:t>
      </w:r>
    </w:p>
    <w:p>
      <w:pPr>
        <w:spacing w:after="0" w:line="25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Company enters into certain strategic investments for the promotion of business and strategic objectives. The equity method of accounting is used if the Company’s ownership interest is greater than or equal to 20% but less than a majority or where the Company has the ability to exercise significant influence over operating and financial policies. The Company’s equity in the earnings or losses in equity-method investments is recognized in Other income, net, in the Consolidated Statements of Operations and were immaterial for all years presented.</w:t>
      </w:r>
    </w:p>
    <w:p>
      <w:pPr>
        <w:spacing w:after="0" w:line="19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If the Company’s ownership interest is less than 20% and the Company does not have the ability to exercise significant influence over the operating and financial policies of the investee, the Company accounts for these investments at fair value, or if these equity securities do not have a readily determinable fair value, these securities are measured and recorded using the measurement alternative under Accounting Standards Update (“ASU”) No. 2016-01, “Financial Instruments — Overall (Subtopic 825-10): Recognition and Measurement of Financial Assets and Financial Liabilities,” which is cost minus impairment, if any, plus or minus changes resulting from observable price changes. Previously, these investments were accounted for under the cost method of accounting. These investments are recorded within Other non-current assets in the Consolidated Balance Sheets and are periodically analyzed to determine whether or not there are indicators of impairment.</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Entities</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 evaluates its investments and other significant relationships to determine whether any investee is a variable interest entity (“VIE”). If the Company concludes that an investee is a VIE, the Company evaluates its power to direct the activities of the investee, its obligation to absorb the expected losses of the investee and its right to receive the expected residual returns of the investee to determine whether the Company is the primary beneficiary of the investee. If the Company is the primary beneficiary of a VIE, the Company consolidates such entity and reflects the non-controlling interest of other beneficiaries of that entity. The Company does not consolidate any cost method investment or equity method investment entities.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for all periods presented because of the short-term maturity of these assets and liabilities. The carrying value of notes receivable from Flash Ventures also approximates fair value for all periods presented because they bear variable market rates of interest. The fair value of investments that are not accounted for under the equity method is based on appropriate market information.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Company values inventories at the lower of cost (first-in, first out) or net realizable value. The first-in, first-out method is used to value the cost of the majority of the Company’s inventories. Inventory write-downs are recorded for the valuation of inventory at the lower of cost or net realizable value by analyzing market conditions and estimates of future sales prices as compared to inventory costs and inventory balances.</w:t>
      </w:r>
    </w:p>
    <w:p>
      <w:pPr>
        <w:spacing w:after="0" w:line="192" w:lineRule="exact"/>
        <w:rPr>
          <w:sz w:val="20"/>
          <w:szCs w:val="20"/>
          <w:color w:val="auto"/>
        </w:rPr>
      </w:pPr>
    </w:p>
    <w:p>
      <w:pPr>
        <w:jc w:val="both"/>
        <w:ind w:right="320" w:firstLine="324"/>
        <w:spacing w:after="0" w:line="279" w:lineRule="auto"/>
        <w:rPr>
          <w:sz w:val="20"/>
          <w:szCs w:val="20"/>
          <w:color w:val="auto"/>
        </w:rPr>
      </w:pPr>
      <w:r>
        <w:rPr>
          <w:rFonts w:ascii="Arial" w:cs="Arial" w:eastAsia="Arial" w:hAnsi="Arial"/>
          <w:sz w:val="17"/>
          <w:szCs w:val="17"/>
          <w:color w:val="auto"/>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write-down of inventory that could materially affect operating results.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Property, plant, and equipment are carried at cost less accumulated depreciation and amortization. The cost of property, plant and equipment is depreciated over the estimated useful lives of the respective assets. The Company’s buildings and improvements are depreciated over periods ranging from fifteen to thirty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Goodwill is not amortized. Instead, it is tested for impairment on an annual basis or more frequently whenever events or changes in circumstances indicate that goodwill may be impaired. The Company performs an annual impairment test as of the beginning of its fourth quarter.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 The Company’s assessment resulted in no impairment of goodwill in 2023, 2022, or 2021.</w:t>
      </w:r>
    </w:p>
    <w:p>
      <w:pPr>
        <w:spacing w:after="0" w:line="1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the results of operations, macroeconomic conditions or other factors. Changes in these estimates could materially affect the Company’s assessment of the fair value and goodwill impairment. If the Company’s stock price decreases significantly, goodwill could become impaired, which could result in a material charge and adversely affect the Company’s results of operations.</w:t>
      </w:r>
    </w:p>
    <w:p>
      <w:pPr>
        <w:spacing w:after="0" w:line="2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IPR&amp;D is an intangible asset accounted as an indefinite-lived asset until the completion or abandonment of the associated research and development effort. During the development period, the Company conducts an IPR&amp;D impairment test at least annually or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and the impact of the economic environment on the Company and on its customer base. If impairment is indicated, the impairment is measured as the amount by which the carrying amount of the assets exceeds the fair value of the assets.</w:t>
      </w:r>
    </w:p>
    <w:p>
      <w:pPr>
        <w:spacing w:after="0" w:line="21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 xml:space="preserve">Other long-lived assets are depreciated or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The estimates of fair value require evaluation of future market conditions and product lifecycles as well as projected revenue, earnings and cash flow. See Note 5, </w:t>
      </w:r>
      <w:r>
        <w:rPr>
          <w:rFonts w:ascii="Arial" w:cs="Arial" w:eastAsia="Arial" w:hAnsi="Arial"/>
          <w:sz w:val="16"/>
          <w:szCs w:val="16"/>
          <w:i w:val="1"/>
          <w:iCs w:val="1"/>
          <w:color w:val="auto"/>
        </w:rPr>
        <w:t>Supplemental Financial Statement Data</w:t>
      </w:r>
      <w:r>
        <w:rPr>
          <w:rFonts w:ascii="Arial" w:cs="Arial" w:eastAsia="Arial" w:hAnsi="Arial"/>
          <w:sz w:val="16"/>
          <w:szCs w:val="16"/>
          <w:color w:val="auto"/>
        </w:rPr>
        <w:t>, for additional disclosures related to the Company’s other intangible assets.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and Accounts Receivable</w:t>
      </w:r>
    </w:p>
    <w:p>
      <w:pPr>
        <w:spacing w:after="0" w:line="25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considered constrained based on the Company’s history with similar transactions and the fact that uncertainties are resolved in a fairly short period of time.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Substantially all of the Company’s revenue is from the sale of tangible products for which the performance obligations are satisfied at a point in time, generally upon delivery. The Company’s services revenue mainly includes professional service arrangements and post-contract customer support, warranty as a service and maintenance contracts. The performance obligations for the Company’s services are generally satisfied ratably over the service period based on the nature of the service provided and contract terms. Similarly, revenue from patent licensing arrangements is recognized based on whether the arrangement provides the customer a right to use or right to access the IP. Revenue for a right-to-use arrangement is recognized at the time the control of the license is transferred to the customer. Revenue for a right-to-access arrangement is recognized over the contract period using the time lapse method. For the sales-based royalty arrangements, the Company estimates and recognizes revenue in the period in which customers’ licensable sales occur.</w:t>
      </w:r>
    </w:p>
    <w:p>
      <w:pPr>
        <w:spacing w:after="0" w:line="19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Company’s customer payment terms are typically less than two months from the date control over the product or service is transferred to the customer. The Company uses the practical expedient and does not recognize a significant financing component for payment considerations of less than one year. The financing components of contracts with payment terms were not material.</w:t>
      </w:r>
    </w:p>
    <w:p>
      <w:pPr>
        <w:spacing w:after="0" w:line="2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provides distributors and retailers (collectively referred to as “resellers”) with limited price protection for inventories held by resellers at the time of published list price reductions. The Company also provides resellers and original equipment manufacturers (“OEMs”) with other sales incentive programs. The Company records estimated variable consideration related to these items as a reduction to revenue at the time of revenue recognition. The Company uses judgment in its assessment of variable consideration in contracts to be included in the transaction price. The Company uses the expected value method to arrive at the amount of variable consideration. The Company constrains variable consideration until the likelihood of a significant revenue reversal is not probable and believes that the expected value method is the appropriate estimate of the amount of variable consideration based on the fact that the Company has a large number of contracts with similar characteristics.</w:t>
      </w:r>
    </w:p>
    <w:p>
      <w:pPr>
        <w:spacing w:after="0" w:line="204"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For sales to OEMs, the Company’s methodology for estimating variable consideration is based on the amount of consideration expected to be earned based on the OEMs’ volume of purchases from the Company or other agreed-upon sales incentive programs. For sales to resellers, the Company’s methodology for estimating variable consideration is based on several factors including historical pricing information, current pricing trends and channel inventory levels. Differences between the estimated and actual amounts of variable consideration are recognized as adjustments to revenue.</w:t>
      </w:r>
    </w:p>
    <w:p>
      <w:pPr>
        <w:spacing w:after="0" w:line="184"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Marketing development program costs are typically recorded as a reduction of the transaction price and, therefore, of revenue. The Company nets sales rebates against open customer receivable balances if the criteria to offset are met, otherwise they are recorded within other accrued liabilities.</w:t>
      </w:r>
    </w:p>
    <w:p>
      <w:pPr>
        <w:spacing w:after="0" w:line="1"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For contracts with multiple performance obligations,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If applicable, the Company allocates the transaction price to the performance obligations of each distinct product or service, or distinct bundle, based on their relative standalone selling prices.</w:t>
      </w:r>
    </w:p>
    <w:p>
      <w:pPr>
        <w:spacing w:after="0" w:line="23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records an allowance for doubtful accounts by analyzing specific customer accounts and assessing the risk of loss based on insolvency or other collection issues. In addition, the Company routinely analyzes the various receivable aging categories to establish reserves based on a combination of past-due receivables and expected future losses. If the financial condition of a significant customer deteriorates resulting in its inability to pay its accounts when due, or if the Company’s overall loss trajectory changes significantly, an adjustment in the Company’s allowance for doubtful accounts would be required, which could materially affect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Warranty</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and could differ significantly from the estimates.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Litigation and Other Contingencies</w:t>
      </w:r>
    </w:p>
    <w:p>
      <w:pPr>
        <w:spacing w:after="0" w:line="252"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 xml:space="preserve">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17,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for additional disclosures related to the Company’s litigation.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Advertising Expense</w:t>
      </w:r>
    </w:p>
    <w:p>
      <w:pPr>
        <w:spacing w:after="0" w:line="25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Advertising costs are expensed as incurred and amounted to $69 million, $88 million and $84 million in 2023, 2022 and 2021, respectively. These expenses are included in Selling, general and administrative in the Consolidated Statements of Operations.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(“R&amp;D”) expenditures are expensed as incurred.</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 likely than 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 The Company accounts for interest and penalties related to income taxes as a component of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previously-recorded liabilities for unrealized tax benefits, and may materially affect the Company’s operating results.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Income (Loss) Per Common Share</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computes net income (loss) per common share using a two-class method when shares are issued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undistributed earnings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w:t>
      </w:r>
    </w:p>
    <w:p>
      <w:pPr>
        <w:spacing w:after="0" w:line="20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Company computes basic income (loss) per common share by dividing net income (loss) attributable to common shareholders by the weighted average number of common shares outstanding during the period. Diluted income (loss) per common share is computed by using diluted net income (loss) attributable to common shareholders, the weighted average number of common shares and potentially dilutive securities outstanding during the period using the treasury stock method or the “if-converted” method based on the nature of the securities. Potentially dilutive common shares include dilutive outstanding employee stock options, restricted stock unit awards (“RSUs”) and restricted stock unit awards with performance conditions or market conditions (“PSUs”), rights to purchase shares of common stock under the Company’s Employee Stock Purchase Plan (“ESPP”), shares issuable in connection with the 1.50% convertible notes due 2024, and the convertible preferred stock.</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accounts for all stock-based compensation at fair value. Stock-based compensation cost is measured at the grant date based on the value of the award and is recognized as expense over the vesting period. The fair values of RSUs and PSUs with a performance condition are determined based on the closing market price of the Company’s stock on the date of the grant. The fair values of all ESPP purchase rights are estimated using the Black-Scholes-Merton option-pricing model and require the input of highly subjective assumptions. The fair values of PSUs with a market condition are estimated using a Monte Carlo simulation model. PSUs are granted to certain employees and vest only after the achievement of pre-determined performance or market conditions. Once these conditions are met, vesting of PSUs is subject to continued service by the employee. At the end of each reporting period, the Company evaluates the probability that PSUs with a performance condition will be earned and records the related stock-based compensation expense over the service period. Compensation expense for PSUs with market conditions is recognized ratably over the required service period regardless of expected or actual achievement.</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Comprehensive Income (Loss), Net of Tax</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Other comprehensive income (loss), net of tax refers to revenue, expenses, gains and losses that are recorded as an element of shareholders’ equity but are excluded from net income. The Company’s other comprehensive income (loss), net of tax is primarily comprised of unrealized gains or losses on foreign exchange contracts and interest rate swap agreements designated as cash flow hedges, foreign currency translation, and actuarial gains or losses related to pensions.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Contracts</w:t>
      </w:r>
    </w:p>
    <w:p>
      <w:pPr>
        <w:spacing w:after="0" w:line="25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Substantially all of these contract maturity dates do not exceed 12 months. All foreign exchange contracts are for risk management purposes only. The Company does not purchase foreign exchange contracts for speculative or trading purposes. The Company had foreign exchange contracts with commercial banks for British pound sterling, European euro, Japanese yen, Malaysian ringgit, Philippine peso, Thai baht, Korean won and Israeli shekel, which had an aggregate notional amount of $5.66 billion and $6.07 billion at June 30, 2023 and July 1, 2022, respectively.</w:t>
      </w:r>
    </w:p>
    <w:p>
      <w:pPr>
        <w:spacing w:after="0" w:line="20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If the derivative is designated as a cash flow hedge and is determined to be highly effective,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within cash flows from operating activities. The Company previously had interest rate swaps which were accounted for as designated cash flow hedges to mitigate variations in interest payments under a portion of its variable rate term loans. The Company paid interest monthly at a fixed rate and received interest monthly at the applicable index rate on the notional amount of the contract with realized gains or losses recognized in Interest expense. Hedge effectiveness is measured by comparing the hedging instrument’s cumulative change in fair value from inception to maturity to the underlying exposure’s terminal value. The Company determined the ineffectiveness associated with its cash flow hedges to be immaterial to the Consolidated Financial Statements for all years presented.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change in the fair value of undesignated hedges is recognized in earnings in the period incurred and is reported in Other income, net.</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Pensions and Other Post-Retirement Benefit Plans</w:t>
      </w:r>
    </w:p>
    <w:p>
      <w:pPr>
        <w:spacing w:after="0" w:line="25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year-end. The Company recognizes the funded status of its defined benefit pension and post-retirement plans in the Consolidated Balance Sheets, with actuarial changes in the funded status recognized through accumulated other comprehensive loss in the year in which such changes occur.</w:t>
      </w:r>
    </w:p>
    <w:p>
      <w:pPr>
        <w:spacing w:after="0" w:line="20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Company reports the service cost component in the same line item or items as other compensation costs arising from services rendered by the pertinent employees during the period. In addition, the other components of net benefit cost are presented in Other income, net in the Consolidated Statements of Operations.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w:t>
      </w:r>
    </w:p>
    <w:p>
      <w:pPr>
        <w:spacing w:after="0" w:line="2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that option. Lease expense is recognized on a straight-line basis over the lease term.</w:t>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No. 2020-06, “Debt—Debt with Conversion and Other Options (Subtopic 470-20) and Derivatives and Hedging—Contracts in Entity’s Own Equity (Subtopic 815-40): Accounting for Convertible Instruments and Contracts in an Entity’s Own Equity” (“ASU 2020-06”). ASU 2020-06 reduces the number of accounting models for convertible debt instruments and convertible preferred stock and results in fewer instruments with embedded conversion features being separately recognized from the host contract as compared with current standards. Those instruments that do not have a separately recognized embedded conversion feature will no longer recognize a debt issuance discount related to such a conversion feature and would recognize less interest expense on a periodic basis. Additionally, the ASU amends the calculation of the share dilution impact related to a conversion feature and eliminates the treasury method as an option. The Company adopted the new standard effective July 2, 2022, the first day of the year ending June 30, 2023, using the modified retrospective method. On the date of adoption, the Company recorded a reduction in Additional paid-in capital of $128 million, a reduction of unamortized debt discount of $48 million, a reduction of deferred income tax liabilities of $11 million, and an increase to retained earnings of $91 million for 2023 for the after-tax impact of previously recognized amortization of the debt discount associated with the Company’s convertible senior notes. Amortization of debt discount included in Interest expense in the Consolidated Statements of Operations, under the previous accounting method was $29 million and $27 million in 2022 and 2021, respectively.</w:t>
      </w:r>
    </w:p>
    <w:p>
      <w:pPr>
        <w:spacing w:after="0" w:line="21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November 2021, the FASB issued ASU No. 2021-10, “Government Assistance (Topic 832): Disclosures by Business Entities about Government Assistance” (“ASU 2021-10”). ASU 2021-10 increases the transparency of government assistance received by requiring most business entities to disclose information about government assistance received, including (1) the types of assistance, (2) the entity’s accounting for the assistance, and (3) the effect of the assistance on an entity’s financial statements. The Company adopted this standard on July 2, 2022, the first day of fiscal 2023 and the adoption did not have a material impact on its Consolidated Financial Statements.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5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September 2022, the FASB issued ASU No. 2022-04, “Liabilities-Supplier Finance Programs (Subtopic 405-50): Disclosure of Supplier Finance Program Obligations”. This guidance requires entities that use supplier finance programs in connection with the purchase of goods and services to provide interim disclosures of the amount of outstanding supplier-financed purchases and annual disclosure of rollforward information related to those programs. The ASU is effective for fiscal years beginning after December 15, 2022, which for the Company is the first quarter of 2024 (except for the amendment on rollforward information, which is effective for fiscal years beginning after December 15, 2023, which for the Company is the first quarter of 2025), with early adoption permitted. The Company is currently compiling the information required for these disclosures.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Business Segments, Geographic Information, and Concentrations of Risk</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operating performance of the Company’s reportable segments: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210"/>
        </w:trPr>
        <w:tc>
          <w:tcPr>
            <w:tcW w:w="6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6"/>
          </w:tcPr>
          <w:p>
            <w:pPr>
              <w:jc w:val="right"/>
              <w:ind w:right="119"/>
              <w:spacing w:after="0"/>
              <w:rPr>
                <w:sz w:val="20"/>
                <w:szCs w:val="20"/>
                <w:color w:val="auto"/>
              </w:rPr>
            </w:pPr>
            <w:r>
              <w:rPr>
                <w:rFonts w:ascii="Arial" w:cs="Arial" w:eastAsia="Arial" w:hAnsi="Arial"/>
                <w:sz w:val="16"/>
                <w:szCs w:val="16"/>
                <w:i w:val="1"/>
                <w:iCs w:val="1"/>
                <w:color w:val="auto"/>
              </w:rPr>
              <w:t>(in millions, except percentages)</w:t>
            </w:r>
          </w:p>
        </w:tc>
        <w:tc>
          <w:tcPr>
            <w:tcW w:w="1120" w:type="dxa"/>
            <w:vAlign w:val="bottom"/>
          </w:tcPr>
          <w:p>
            <w:pPr>
              <w:spacing w:after="0"/>
              <w:rPr>
                <w:sz w:val="18"/>
                <w:szCs w:val="18"/>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7"/>
        </w:trPr>
        <w:tc>
          <w:tcPr>
            <w:tcW w:w="6480" w:type="dxa"/>
            <w:vAlign w:val="bottom"/>
          </w:tcPr>
          <w:p>
            <w:pPr>
              <w:ind w:left="140"/>
              <w:spacing w:after="0"/>
              <w:rPr>
                <w:sz w:val="20"/>
                <w:szCs w:val="20"/>
                <w:color w:val="auto"/>
              </w:rPr>
            </w:pPr>
            <w:r>
              <w:rPr>
                <w:rFonts w:ascii="Arial" w:cs="Arial" w:eastAsia="Arial" w:hAnsi="Arial"/>
                <w:sz w:val="16"/>
                <w:szCs w:val="16"/>
                <w:color w:val="auto"/>
              </w:rPr>
              <w:t>Flash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6,063</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9,753</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8,706</w:t>
            </w:r>
          </w:p>
        </w:tc>
      </w:tr>
      <w:tr>
        <w:trPr>
          <w:trHeight w:val="233"/>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HDD</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6,255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9,040</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8,216</w:t>
            </w:r>
          </w:p>
        </w:tc>
      </w:tr>
      <w:tr>
        <w:trPr>
          <w:trHeight w:val="217"/>
        </w:trPr>
        <w:tc>
          <w:tcPr>
            <w:tcW w:w="6480" w:type="dxa"/>
            <w:vAlign w:val="bottom"/>
          </w:tcPr>
          <w:p>
            <w:pPr>
              <w:ind w:left="240"/>
              <w:spacing w:after="0"/>
              <w:rPr>
                <w:sz w:val="20"/>
                <w:szCs w:val="20"/>
                <w:color w:val="auto"/>
              </w:rPr>
            </w:pPr>
            <w:r>
              <w:rPr>
                <w:rFonts w:ascii="Arial" w:cs="Arial" w:eastAsia="Arial" w:hAnsi="Arial"/>
                <w:sz w:val="16"/>
                <w:szCs w:val="16"/>
                <w:color w:val="auto"/>
              </w:rPr>
              <w:t>Total net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12,318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18,793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16,922</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7"/>
        </w:trPr>
        <w:tc>
          <w:tcPr>
            <w:tcW w:w="6480" w:type="dxa"/>
            <w:vAlign w:val="bottom"/>
          </w:tcPr>
          <w:p>
            <w:pPr>
              <w:ind w:left="140"/>
              <w:spacing w:after="0"/>
              <w:rPr>
                <w:sz w:val="20"/>
                <w:szCs w:val="20"/>
                <w:color w:val="auto"/>
              </w:rPr>
            </w:pPr>
            <w:r>
              <w:rPr>
                <w:rFonts w:ascii="Arial" w:cs="Arial" w:eastAsia="Arial" w:hAnsi="Arial"/>
                <w:sz w:val="16"/>
                <w:szCs w:val="16"/>
                <w:color w:val="auto"/>
              </w:rPr>
              <w:t>Flash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3,527</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2,611</w:t>
            </w:r>
          </w:p>
        </w:tc>
      </w:tr>
      <w:tr>
        <w:trPr>
          <w:trHeight w:val="232"/>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HDD</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1,505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2,661</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2,221</w:t>
            </w:r>
          </w:p>
        </w:tc>
      </w:tr>
      <w:tr>
        <w:trPr>
          <w:trHeight w:val="207"/>
        </w:trPr>
        <w:tc>
          <w:tcPr>
            <w:tcW w:w="6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gross profit for segments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1,938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6,188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4,832</w:t>
            </w:r>
          </w:p>
        </w:tc>
      </w:tr>
      <w:tr>
        <w:trPr>
          <w:trHeight w:val="213"/>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Unallocated corporate items: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6"/>
        </w:trPr>
        <w:tc>
          <w:tcPr>
            <w:tcW w:w="648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(55)</w:t>
            </w:r>
          </w:p>
        </w:tc>
      </w:tr>
      <w:tr>
        <w:trPr>
          <w:trHeight w:val="233"/>
        </w:trPr>
        <w:tc>
          <w:tcPr>
            <w:tcW w:w="6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(331)</w:t>
            </w:r>
          </w:p>
        </w:tc>
      </w:tr>
      <w:tr>
        <w:trPr>
          <w:trHeight w:val="227"/>
        </w:trPr>
        <w:tc>
          <w:tcPr>
            <w:tcW w:w="6480" w:type="dxa"/>
            <w:vAlign w:val="bottom"/>
          </w:tcPr>
          <w:p>
            <w:pPr>
              <w:ind w:left="240"/>
              <w:spacing w:after="0"/>
              <w:rPr>
                <w:sz w:val="20"/>
                <w:szCs w:val="20"/>
                <w:color w:val="auto"/>
              </w:rPr>
            </w:pPr>
            <w:r>
              <w:rPr>
                <w:rFonts w:ascii="Arial" w:cs="Arial" w:eastAsia="Arial" w:hAnsi="Arial"/>
                <w:sz w:val="16"/>
                <w:szCs w:val="16"/>
                <w:color w:val="auto"/>
              </w:rPr>
              <w:t>Contamination related charges</w:t>
            </w:r>
          </w:p>
        </w:tc>
        <w:tc>
          <w:tcPr>
            <w:tcW w:w="3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32"/>
        </w:trPr>
        <w:tc>
          <w:tcPr>
            <w:tcW w:w="6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Recoveries from a power outage incident</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w:t>
            </w:r>
          </w:p>
        </w:tc>
      </w:tr>
      <w:tr>
        <w:trPr>
          <w:trHeight w:val="227"/>
        </w:trPr>
        <w:tc>
          <w:tcPr>
            <w:tcW w:w="6480" w:type="dxa"/>
            <w:vAlign w:val="bottom"/>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6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unallocated corporate items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r>
      <w:tr>
        <w:trPr>
          <w:trHeight w:val="217"/>
        </w:trPr>
        <w:tc>
          <w:tcPr>
            <w:tcW w:w="6480" w:type="dxa"/>
            <w:vAlign w:val="bottom"/>
          </w:tcPr>
          <w:p>
            <w:pPr>
              <w:ind w:left="460"/>
              <w:spacing w:after="0"/>
              <w:rPr>
                <w:sz w:val="20"/>
                <w:szCs w:val="20"/>
                <w:color w:val="auto"/>
              </w:rPr>
            </w:pPr>
            <w:r>
              <w:rPr>
                <w:rFonts w:ascii="Arial" w:cs="Arial" w:eastAsia="Arial" w:hAnsi="Arial"/>
                <w:sz w:val="16"/>
                <w:szCs w:val="16"/>
                <w:color w:val="auto"/>
              </w:rPr>
              <w:t>Consolidated gross profit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5,874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4,521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0"/>
        </w:trPr>
        <w:tc>
          <w:tcPr>
            <w:tcW w:w="6480" w:type="dxa"/>
            <w:vAlign w:val="bottom"/>
          </w:tcPr>
          <w:p>
            <w:pPr>
              <w:ind w:left="140"/>
              <w:spacing w:after="0"/>
              <w:rPr>
                <w:sz w:val="20"/>
                <w:szCs w:val="20"/>
                <w:color w:val="auto"/>
              </w:rPr>
            </w:pPr>
            <w:r>
              <w:rPr>
                <w:rFonts w:ascii="Arial" w:cs="Arial" w:eastAsia="Arial" w:hAnsi="Arial"/>
                <w:sz w:val="16"/>
                <w:szCs w:val="16"/>
                <w:color w:val="auto"/>
              </w:rPr>
              <w:t>Flash</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30.0 %</w:t>
            </w:r>
          </w:p>
        </w:tc>
      </w:tr>
      <w:tr>
        <w:trPr>
          <w:trHeight w:val="239"/>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HDD</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27.0 %</w:t>
            </w:r>
          </w:p>
        </w:tc>
      </w:tr>
      <w:tr>
        <w:trPr>
          <w:trHeight w:val="210"/>
        </w:trPr>
        <w:tc>
          <w:tcPr>
            <w:tcW w:w="6480" w:type="dxa"/>
            <w:vAlign w:val="bottom"/>
          </w:tcPr>
          <w:p>
            <w:pPr>
              <w:ind w:left="140"/>
              <w:spacing w:after="0"/>
              <w:rPr>
                <w:sz w:val="20"/>
                <w:szCs w:val="20"/>
                <w:color w:val="auto"/>
              </w:rPr>
            </w:pPr>
            <w:r>
              <w:rPr>
                <w:rFonts w:ascii="Arial" w:cs="Arial" w:eastAsia="Arial" w:hAnsi="Arial"/>
                <w:sz w:val="16"/>
                <w:szCs w:val="16"/>
                <w:color w:val="auto"/>
              </w:rPr>
              <w:t>Consolidated gross margin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31.3 %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26.7 %</w:t>
            </w:r>
          </w:p>
        </w:tc>
      </w:tr>
    </w:tbl>
    <w:p>
      <w:pPr>
        <w:spacing w:after="0" w:line="34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Disaggregated Revenue</w:t>
      </w:r>
    </w:p>
    <w:p>
      <w:pPr>
        <w:spacing w:after="0" w:line="252"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The Company’s broad portfolio of technology and products address multiple end markets. Cloud is comprised primarily of products for public or private cloud environments and end customers, which the Company believes it is uniquely positioned to address as the only provider of both Flash and HDD. Through the Client end market, the Company provides its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6"/>
        </w:trPr>
        <w:tc>
          <w:tcPr>
            <w:tcW w:w="6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i w:val="1"/>
                <w:iCs w:val="1"/>
                <w:color w:val="auto"/>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End Market</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0"/>
        </w:trPr>
        <w:tc>
          <w:tcPr>
            <w:tcW w:w="6720" w:type="dxa"/>
            <w:vAlign w:val="bottom"/>
          </w:tcPr>
          <w:p>
            <w:pPr>
              <w:ind w:left="140"/>
              <w:spacing w:after="0"/>
              <w:rPr>
                <w:sz w:val="20"/>
                <w:szCs w:val="20"/>
                <w:color w:val="auto"/>
              </w:rPr>
            </w:pPr>
            <w:r>
              <w:rPr>
                <w:rFonts w:ascii="Arial" w:cs="Arial" w:eastAsia="Arial" w:hAnsi="Arial"/>
                <w:sz w:val="16"/>
                <w:szCs w:val="16"/>
                <w:color w:val="auto"/>
              </w:rPr>
              <w:t>Cloud</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5,252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8,017</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5,723</w:t>
            </w:r>
          </w:p>
        </w:tc>
      </w:tr>
      <w:tr>
        <w:trPr>
          <w:trHeight w:val="239"/>
        </w:trPr>
        <w:tc>
          <w:tcPr>
            <w:tcW w:w="6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7,281</w:t>
            </w:r>
          </w:p>
        </w:tc>
      </w:tr>
      <w:tr>
        <w:trPr>
          <w:trHeight w:val="223"/>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3,918</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100" w:firstLine="324"/>
        <w:spacing w:after="0" w:line="262" w:lineRule="auto"/>
        <w:rPr>
          <w:sz w:val="20"/>
          <w:szCs w:val="20"/>
          <w:color w:val="auto"/>
        </w:rPr>
      </w:pPr>
      <w:r>
        <w:rPr>
          <w:rFonts w:ascii="Arial" w:cs="Arial" w:eastAsia="Arial" w:hAnsi="Arial"/>
          <w:sz w:val="18"/>
          <w:szCs w:val="18"/>
          <w:color w:val="auto"/>
        </w:rPr>
        <w:t>The Company’s operations outside the United States include manufacturing facilities in China, Japan, Malaysia, the Philippines and Thailand, as well as sales offices throughout the Americas, Asia Pacific, Europe, the Middle East, and Africa. The following tables summarize the Company’s operations by geographic area: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2021</w:t>
            </w:r>
          </w:p>
        </w:tc>
      </w:tr>
      <w:tr>
        <w:trPr>
          <w:trHeight w:val="26"/>
        </w:trPr>
        <w:tc>
          <w:tcPr>
            <w:tcW w:w="2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6"/>
        </w:trPr>
        <w:tc>
          <w:tcPr>
            <w:tcW w:w="2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6740" w:type="dxa"/>
            <w:vAlign w:val="bottom"/>
            <w:gridSpan w:val="2"/>
            <w:shd w:val="clear" w:color="auto" w:fill="CCEEFF"/>
          </w:tcPr>
          <w:p>
            <w:pPr>
              <w:ind w:left="40"/>
              <w:spacing w:after="0" w:line="219" w:lineRule="exact"/>
              <w:rPr>
                <w:sz w:val="20"/>
                <w:szCs w:val="20"/>
                <w:color w:val="auto"/>
              </w:rPr>
            </w:pPr>
            <w:r>
              <w:rPr>
                <w:rFonts w:ascii="Arial" w:cs="Arial" w:eastAsia="Arial" w:hAnsi="Arial"/>
                <w:sz w:val="16"/>
                <w:szCs w:val="16"/>
                <w:color w:val="auto"/>
              </w:rPr>
              <w:t xml:space="preserve">Net revenue </w:t>
            </w:r>
            <w:r>
              <w:rPr>
                <w:rFonts w:ascii="Arial" w:cs="Arial" w:eastAsia="Arial" w:hAnsi="Arial"/>
                <w:sz w:val="21"/>
                <w:szCs w:val="21"/>
                <w:color w:val="auto"/>
                <w:vertAlign w:val="superscript"/>
              </w:rPr>
              <w:t>(1)</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40" w:type="dxa"/>
            <w:vAlign w:val="bottom"/>
            <w:gridSpan w:val="2"/>
          </w:tcPr>
          <w:p>
            <w:pPr>
              <w:ind w:left="140"/>
              <w:spacing w:after="0"/>
              <w:rPr>
                <w:sz w:val="20"/>
                <w:szCs w:val="20"/>
                <w:color w:val="auto"/>
              </w:rPr>
            </w:pPr>
            <w:r>
              <w:rPr>
                <w:rFonts w:ascii="Arial" w:cs="Arial" w:eastAsia="Arial" w:hAnsi="Arial"/>
                <w:sz w:val="16"/>
                <w:szCs w:val="16"/>
                <w:color w:val="auto"/>
              </w:rPr>
              <w:t>United States</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3,810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5,411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3,789</w:t>
            </w:r>
          </w:p>
        </w:tc>
      </w:tr>
      <w:tr>
        <w:trPr>
          <w:trHeight w:val="219"/>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China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4,339</w:t>
            </w:r>
          </w:p>
        </w:tc>
      </w:tr>
      <w:tr>
        <w:trPr>
          <w:trHeight w:val="213"/>
        </w:trPr>
        <w:tc>
          <w:tcPr>
            <w:tcW w:w="6740" w:type="dxa"/>
            <w:vAlign w:val="bottom"/>
            <w:gridSpan w:val="2"/>
          </w:tcPr>
          <w:p>
            <w:pPr>
              <w:ind w:left="140"/>
              <w:spacing w:after="0"/>
              <w:rPr>
                <w:sz w:val="20"/>
                <w:szCs w:val="20"/>
                <w:color w:val="auto"/>
              </w:rPr>
            </w:pPr>
            <w:r>
              <w:rPr>
                <w:rFonts w:ascii="Arial" w:cs="Arial" w:eastAsia="Arial" w:hAnsi="Arial"/>
                <w:sz w:val="16"/>
                <w:szCs w:val="16"/>
                <w:color w:val="auto"/>
              </w:rPr>
              <w:t>Hong Kong</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3,624</w:t>
            </w:r>
          </w:p>
        </w:tc>
      </w:tr>
      <w:tr>
        <w:trPr>
          <w:trHeight w:val="219"/>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 of Asia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r>
      <w:tr>
        <w:trPr>
          <w:trHeight w:val="213"/>
        </w:trPr>
        <w:tc>
          <w:tcPr>
            <w:tcW w:w="6740" w:type="dxa"/>
            <w:vAlign w:val="bottom"/>
            <w:gridSpan w:val="2"/>
          </w:tcPr>
          <w:p>
            <w:pPr>
              <w:ind w:left="140"/>
              <w:spacing w:after="0"/>
              <w:rPr>
                <w:sz w:val="20"/>
                <w:szCs w:val="20"/>
                <w:color w:val="auto"/>
              </w:rPr>
            </w:pPr>
            <w:r>
              <w:rPr>
                <w:rFonts w:ascii="Arial" w:cs="Arial" w:eastAsia="Arial" w:hAnsi="Arial"/>
                <w:sz w:val="16"/>
                <w:szCs w:val="16"/>
                <w:color w:val="auto"/>
              </w:rPr>
              <w:t>Europe, Middle East and Africa</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3,061</w:t>
            </w:r>
          </w:p>
        </w:tc>
      </w:tr>
      <w:tr>
        <w:trPr>
          <w:trHeight w:val="216"/>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213"/>
        </w:trPr>
        <w:tc>
          <w:tcPr>
            <w:tcW w:w="674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12,318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16,922</w:t>
            </w:r>
          </w:p>
        </w:tc>
      </w:tr>
      <w:tr>
        <w:trPr>
          <w:trHeight w:val="20"/>
        </w:trPr>
        <w:tc>
          <w:tcPr>
            <w:tcW w:w="2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
        </w:trPr>
        <w:tc>
          <w:tcPr>
            <w:tcW w:w="2220" w:type="dxa"/>
            <w:vAlign w:val="bottom"/>
            <w:tcBorders>
              <w:bottom w:val="single" w:sz="8" w:color="auto"/>
            </w:tcBorders>
          </w:tcPr>
          <w:p>
            <w:pPr>
              <w:spacing w:after="0"/>
              <w:rPr>
                <w:sz w:val="10"/>
                <w:szCs w:val="10"/>
                <w:color w:val="auto"/>
              </w:rPr>
            </w:pPr>
          </w:p>
        </w:tc>
        <w:tc>
          <w:tcPr>
            <w:tcW w:w="4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bl>
    <w:p>
      <w:pPr>
        <w:spacing w:after="0" w:line="107" w:lineRule="exact"/>
        <w:rPr>
          <w:sz w:val="20"/>
          <w:szCs w:val="20"/>
          <w:color w:val="auto"/>
        </w:rPr>
      </w:pPr>
    </w:p>
    <w:p>
      <w:pPr>
        <w:ind w:left="340" w:right="420" w:hanging="332"/>
        <w:spacing w:after="0" w:line="227" w:lineRule="auto"/>
        <w:tabs>
          <w:tab w:leader="none" w:pos="269"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Net revenue is attributed to geographic regions based on the ship-to location of the customer. License and royalty revenue is attributed to countries based upon the location of the headquarters of the licensee.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940" w:type="dxa"/>
            <w:vAlign w:val="bottom"/>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500"/>
              <w:spacing w:after="0"/>
              <w:rPr>
                <w:sz w:val="20"/>
                <w:szCs w:val="20"/>
                <w:color w:val="auto"/>
              </w:rPr>
            </w:pPr>
            <w:r>
              <w:rPr>
                <w:rFonts w:ascii="Arial" w:cs="Arial" w:eastAsia="Arial" w:hAnsi="Arial"/>
                <w:sz w:val="14"/>
                <w:szCs w:val="14"/>
                <w:b w:val="1"/>
                <w:bCs w:val="1"/>
                <w:color w:val="auto"/>
              </w:rPr>
              <w:t>2022</w:t>
            </w:r>
          </w:p>
        </w:tc>
      </w:tr>
      <w:tr>
        <w:trPr>
          <w:trHeight w:val="26"/>
        </w:trPr>
        <w:tc>
          <w:tcPr>
            <w:tcW w:w="22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7"/>
        </w:trPr>
        <w:tc>
          <w:tcPr>
            <w:tcW w:w="22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gridSpan w:val="3"/>
          </w:tcPr>
          <w:p>
            <w:pPr>
              <w:jc w:val="right"/>
              <w:ind w:right="19"/>
              <w:spacing w:after="0"/>
              <w:rPr>
                <w:sz w:val="20"/>
                <w:szCs w:val="20"/>
                <w:color w:val="auto"/>
              </w:rPr>
            </w:pPr>
            <w:r>
              <w:rPr>
                <w:rFonts w:ascii="Arial" w:cs="Arial" w:eastAsia="Arial" w:hAnsi="Arial"/>
                <w:sz w:val="16"/>
                <w:szCs w:val="16"/>
                <w:i w:val="1"/>
                <w:iCs w:val="1"/>
                <w:color w:val="auto"/>
              </w:rPr>
              <w:t>(in millions)</w:t>
            </w:r>
          </w:p>
        </w:tc>
        <w:tc>
          <w:tcPr>
            <w:tcW w:w="980" w:type="dxa"/>
            <w:vAlign w:val="bottom"/>
          </w:tcPr>
          <w:p>
            <w:pPr>
              <w:spacing w:after="0"/>
              <w:rPr>
                <w:sz w:val="17"/>
                <w:szCs w:val="17"/>
                <w:color w:val="auto"/>
              </w:rPr>
            </w:pPr>
          </w:p>
        </w:tc>
      </w:tr>
      <w:tr>
        <w:trPr>
          <w:trHeight w:val="219"/>
        </w:trPr>
        <w:tc>
          <w:tcPr>
            <w:tcW w:w="82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Long-lived assets </w:t>
            </w:r>
            <w:r>
              <w:rPr>
                <w:rFonts w:ascii="Arial" w:cs="Arial" w:eastAsia="Arial" w:hAnsi="Arial"/>
                <w:sz w:val="21"/>
                <w:szCs w:val="21"/>
                <w:color w:val="auto"/>
                <w:vertAlign w:val="superscript"/>
              </w:rPr>
              <w:t>(1)</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260" w:type="dxa"/>
            <w:vAlign w:val="bottom"/>
            <w:gridSpan w:val="2"/>
          </w:tcPr>
          <w:p>
            <w:pPr>
              <w:ind w:left="140"/>
              <w:spacing w:after="0"/>
              <w:rPr>
                <w:sz w:val="20"/>
                <w:szCs w:val="20"/>
                <w:color w:val="auto"/>
              </w:rPr>
            </w:pPr>
            <w:r>
              <w:rPr>
                <w:rFonts w:ascii="Arial" w:cs="Arial" w:eastAsia="Arial" w:hAnsi="Arial"/>
                <w:sz w:val="16"/>
                <w:szCs w:val="16"/>
                <w:color w:val="auto"/>
              </w:rPr>
              <w:t>United States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1,130</w:t>
            </w:r>
          </w:p>
        </w:tc>
      </w:tr>
      <w:tr>
        <w:trPr>
          <w:trHeight w:val="21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Malaysia</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r>
      <w:tr>
        <w:trPr>
          <w:trHeight w:val="213"/>
        </w:trPr>
        <w:tc>
          <w:tcPr>
            <w:tcW w:w="8260" w:type="dxa"/>
            <w:vAlign w:val="bottom"/>
            <w:gridSpan w:val="2"/>
          </w:tcPr>
          <w:p>
            <w:pPr>
              <w:ind w:left="140"/>
              <w:spacing w:after="0"/>
              <w:rPr>
                <w:sz w:val="20"/>
                <w:szCs w:val="20"/>
                <w:color w:val="auto"/>
              </w:rPr>
            </w:pPr>
            <w:r>
              <w:rPr>
                <w:rFonts w:ascii="Arial" w:cs="Arial" w:eastAsia="Arial" w:hAnsi="Arial"/>
                <w:sz w:val="16"/>
                <w:szCs w:val="16"/>
                <w:color w:val="auto"/>
              </w:rPr>
              <w:t>China</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1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Thailand</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r>
      <w:tr>
        <w:trPr>
          <w:trHeight w:val="213"/>
        </w:trPr>
        <w:tc>
          <w:tcPr>
            <w:tcW w:w="8260" w:type="dxa"/>
            <w:vAlign w:val="bottom"/>
            <w:gridSpan w:val="2"/>
          </w:tcPr>
          <w:p>
            <w:pPr>
              <w:ind w:left="140"/>
              <w:spacing w:after="0"/>
              <w:rPr>
                <w:sz w:val="20"/>
                <w:szCs w:val="20"/>
                <w:color w:val="auto"/>
              </w:rPr>
            </w:pPr>
            <w:r>
              <w:rPr>
                <w:rFonts w:ascii="Arial" w:cs="Arial" w:eastAsia="Arial" w:hAnsi="Arial"/>
                <w:sz w:val="16"/>
                <w:szCs w:val="16"/>
                <w:color w:val="auto"/>
              </w:rPr>
              <w:t>Rest of Asia</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6"/>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Europe, Middle East and Africa</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826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r>
      <w:tr>
        <w:trPr>
          <w:trHeight w:val="21"/>
        </w:trPr>
        <w:tc>
          <w:tcPr>
            <w:tcW w:w="22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5"/>
        </w:trPr>
        <w:tc>
          <w:tcPr>
            <w:tcW w:w="2220" w:type="dxa"/>
            <w:vAlign w:val="bottom"/>
            <w:tcBorders>
              <w:bottom w:val="single" w:sz="8" w:color="auto"/>
            </w:tcBorders>
          </w:tcPr>
          <w:p>
            <w:pPr>
              <w:spacing w:after="0"/>
              <w:rPr>
                <w:sz w:val="10"/>
                <w:szCs w:val="10"/>
                <w:color w:val="auto"/>
              </w:rPr>
            </w:pPr>
          </w:p>
        </w:tc>
        <w:tc>
          <w:tcPr>
            <w:tcW w:w="6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8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Long-lived assets include property, plant and equipment and are attributed to the geographic location in which they are located.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Customer Concentration and Credit Risk</w:t>
      </w:r>
    </w:p>
    <w:p>
      <w:pPr>
        <w:spacing w:after="0" w:line="25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 sells its products to computer manufacturers and OEMs, cloud service providers, resellers, distributors and retailers throughout the world. For each of 2023, 2022 and 2021, no customer accounted for 10% or more of the Company’s net revenue. For 2023, 2022 and 2021, the Company’s top 10 customers accounted for 43%, 45%, and 39%, respectively, of the Company’s net revenue.</w:t>
      </w:r>
    </w:p>
    <w:p>
      <w:pPr>
        <w:spacing w:after="0" w:line="21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performs ongoing credit evaluations of its customers’ financial condition to manage collection risk, in some cases supplemented by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As of June 30, 2023, the Company had net accounts receivable of $1.60 billion, and two customers, Arrow Electronics, Inc. and Apple, Inc., accounted for 15% and 13%, respectively, of the Company’s outstanding accounts receivable. As of July 1, 2022, the Company had net accounts receivable of $2.80 billion, and no customer accounted for more than 10% or more of the Company’s net accounts receivable. Reserves for potential credit losses were not material as of each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Supplier Concentration</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All of the Company’s Flash require silicon wafers for the memory and controller components. The Company’s flash memory wafers are currently supplied almost entirely from Flash Ventures (as defined in Note 10) and the Company’s controller wafers are all manufactured by third-party sources. The failure of any of these sources to deliver silicon wafers could have a material adverse effect on the Company’s business, financial condition and results of operations.</w:t>
      </w:r>
    </w:p>
    <w:p>
      <w:pPr>
        <w:spacing w:after="0" w:line="21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addition, some key components are purchased from single 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goodwill activity for the period: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Flash</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HDD</w:t>
            </w:r>
          </w:p>
        </w:tc>
        <w:tc>
          <w:tcPr>
            <w:tcW w:w="34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26"/>
        </w:trPr>
        <w:tc>
          <w:tcPr>
            <w:tcW w:w="6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3"/>
        </w:trPr>
        <w:tc>
          <w:tcPr>
            <w:tcW w:w="6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i w:val="1"/>
                <w:iCs w:val="1"/>
                <w:color w:val="auto"/>
                <w:w w:val="98"/>
              </w:rPr>
              <w:t>(in millions)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July 1, 2022</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10,041</w:t>
            </w:r>
          </w:p>
        </w:tc>
      </w:tr>
      <w:tr>
        <w:trPr>
          <w:trHeight w:val="213"/>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5,716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4,321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-607695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-607695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Goodwill is not amortized. Instead, it is tested for impairment annually as of the beginning of the Company’s fourth quarter, or more frequently if events or changes in circumstances indicate that goodwill may be impaired. The Company uses qualitative factors to determine whether goodwill is more-likely-than-not impaired and whether a quantitative test for impairment is considered necessary. If the Company concludes from the qualitative assessment that goodwill is more-likely-than-not-impaired, the Company is required to perform a quantitative approach to determine the amount of impairment.</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Management performed its annual goodwill impairment assessment for both reporting units as of the first day of its fourth quarter ended June 30, 2023. During 2023, after considering changes in industry and macroeconomic conditions, management performed quantitative analyses of impairments for both the Flash and HDD reporting units as of the end of the first and second quarter of 2023 and again as part of its annual impairment assessment as of the first day of the Company’s fourth quarter ended June 30, 2023. In each of these analyses, the fair value of each operating segment was based on a weighting of two valuation methodologies: an income approach and a market approach.</w:t>
      </w:r>
    </w:p>
    <w:p>
      <w:pPr>
        <w:spacing w:after="0" w:line="21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The income approach was based on the present value of the projected discounted cash flows (“DCF”) expected to be generated by the operating segment. Those projections required the use of significant estimates and assumptions specific to the reporting unit as well as those based on general economic conditions, which included, among other factors, revenue growth rates, gross margins, operating costs, capital expenditures, assumed tax rates and other assumptions deemed reasonable by management. The present value was based on applying a weighted average cost of capital (“WACC”) which considered long-term interest rates and cost of equity based on the Company’s risk profile.</w:t>
      </w:r>
    </w:p>
    <w:p>
      <w:pPr>
        <w:spacing w:after="0" w:line="20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market approach was based on a guideline company method, which analyzed market multiples of revenue and earnings before interest, taxes, depreciation and amortization (“EBITDA”) for a group of comparable public companies.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The Company reconciled the aggregated estimated fair value of both operating segments to the Company’s market capitalization, including consideration of a control premium representing the estimated amount a market participant would pay to obtain a controlling interest in the Company.</w:t>
      </w:r>
    </w:p>
    <w:p>
      <w:pPr>
        <w:spacing w:after="0" w:line="13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connection with the Company’s annual goodwill impairment assessment performed as of the first day of the fourth quarter ended June 30, 2023, the fair value derived from those valuation methodologies exceeded the carrying value by 20% and 35% for Flash and HDD, respectively. Accordingly, there were no impairment charges recorded in 2023. The Company also did not incur any impairment charges for 2022 or 2021.</w:t>
      </w:r>
    </w:p>
    <w:p>
      <w:pPr>
        <w:spacing w:after="0" w:line="2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is required to use judgment when assessing goodwill for impairment, including evaluating the impact of industry and macroeconomic conditions, the determination of the fair value of each reporting unit and the assignment of assets and liabilities to reporting units. In addition, the estimates used to determine the fair value of reporting units as well as their actual carrying value may change based on future changes in the Company’s results of operations, macroeconomic conditions or other factors. Changes in these estimates could materially affect the Company’s assessment of the fair value and goodwill impairment. In addition, if negative macroeconomic conditions continue or worsen or the Company’s stock price decreases for a sustained period of time, goodwill could become impaired, which could result in an impairment charge and materially adversely affect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Revenues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 assets represent the Company’s rights to consideration where performance obligations are completed but the customer payments are not due</w:t>
      </w:r>
    </w:p>
    <w:p>
      <w:pPr>
        <w:spacing w:after="0" w:line="21" w:lineRule="exact"/>
        <w:rPr>
          <w:sz w:val="20"/>
          <w:szCs w:val="20"/>
          <w:color w:val="auto"/>
        </w:rPr>
      </w:pPr>
    </w:p>
    <w:p>
      <w:pPr>
        <w:ind w:right="380"/>
        <w:spacing w:after="0" w:line="234" w:lineRule="auto"/>
        <w:rPr>
          <w:sz w:val="20"/>
          <w:szCs w:val="20"/>
          <w:color w:val="auto"/>
        </w:rPr>
      </w:pPr>
      <w:r>
        <w:rPr>
          <w:rFonts w:ascii="Arial" w:cs="Arial" w:eastAsia="Arial" w:hAnsi="Arial"/>
          <w:sz w:val="16"/>
          <w:szCs w:val="16"/>
          <w:color w:val="auto"/>
        </w:rPr>
        <w:t>until another performance obligation is satisfied. The Company did not have any contract assets as of either June 30, 2023 or July 1, 2022. Contract liabilities relate to customers’ payments in advance of performance under the contract and primarily relate to remaining performance obligations under professional service and support and maintenance contracts. Contract liabilities as of June 30, 2023 and July 1, 2022 and changes in contract liabilities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during 2023 and 2022 were not material.</w:t>
      </w:r>
    </w:p>
    <w:p>
      <w:pPr>
        <w:spacing w:after="0" w:line="196" w:lineRule="exact"/>
        <w:rPr>
          <w:sz w:val="20"/>
          <w:szCs w:val="20"/>
          <w:color w:val="auto"/>
        </w:rPr>
      </w:pPr>
    </w:p>
    <w:p>
      <w:pPr>
        <w:ind w:firstLine="324"/>
        <w:spacing w:after="0" w:line="241" w:lineRule="auto"/>
        <w:rPr>
          <w:sz w:val="20"/>
          <w:szCs w:val="20"/>
          <w:color w:val="auto"/>
        </w:rPr>
      </w:pPr>
      <w:r>
        <w:rPr>
          <w:rFonts w:ascii="Arial" w:cs="Arial" w:eastAsia="Arial" w:hAnsi="Arial"/>
          <w:sz w:val="16"/>
          <w:szCs w:val="16"/>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The Company had no direct incremental costs to obtain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contracts that have an expected benefit of greater than one year.</w:t>
      </w:r>
    </w:p>
    <w:p>
      <w:pPr>
        <w:spacing w:after="0" w:line="196" w:lineRule="exact"/>
        <w:rPr>
          <w:sz w:val="20"/>
          <w:szCs w:val="20"/>
          <w:color w:val="auto"/>
        </w:rPr>
      </w:pPr>
    </w:p>
    <w:p>
      <w:pPr>
        <w:ind w:right="200" w:firstLine="324"/>
        <w:spacing w:after="0" w:line="248" w:lineRule="auto"/>
        <w:rPr>
          <w:sz w:val="20"/>
          <w:szCs w:val="20"/>
          <w:color w:val="auto"/>
        </w:rPr>
      </w:pPr>
      <w:r>
        <w:rPr>
          <w:rFonts w:ascii="Arial" w:cs="Arial" w:eastAsia="Arial" w:hAnsi="Arial"/>
          <w:sz w:val="16"/>
          <w:szCs w:val="16"/>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w:t>
      </w:r>
    </w:p>
    <w:p>
      <w:pPr>
        <w:ind w:right="120"/>
        <w:spacing w:after="0" w:line="234" w:lineRule="auto"/>
        <w:rPr>
          <w:sz w:val="20"/>
          <w:szCs w:val="20"/>
          <w:color w:val="auto"/>
        </w:rPr>
      </w:pPr>
      <w:r>
        <w:rPr>
          <w:rFonts w:ascii="Arial" w:cs="Arial" w:eastAsia="Arial" w:hAnsi="Arial"/>
          <w:sz w:val="16"/>
          <w:szCs w:val="16"/>
          <w:color w:val="auto"/>
        </w:rPr>
        <w:t>consideration amounts for sale-based or usage-based royalties for IP license arrangements, which typically range longer than one year. Remaining performance obligations are mainly attributed to right-to-access patent license arrangements, professional service arrangements and customer support and service contracts which will be recognized over the remaining contract period. The transaction price allocated to the remaining performance obligations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June 30, 2023 was not material.</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Supplemental Financial Statement Data</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From time to time, in connection with factoring agreements, the Company sells trade accounts receivable without recourse to third-party purchasers in exchange for cash. In 2023, 2022 and 2021, the Company sold trade accounts receivable aggregating $776 million, $400 million and $233 million, respectively. The discounts on the trade accounts receivable sold during the periods were not material and were recorded within Other income, net in the Consolidated Statements of Operations. As of June 30, 2023 and July 1, 2022, the amount of factored receivables that remained outstanding was $150 million and $300 million, respectively.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July 1,</w:t>
            </w:r>
          </w:p>
        </w:tc>
      </w:tr>
      <w:tr>
        <w:trPr>
          <w:trHeight w:val="192"/>
        </w:trPr>
        <w:tc>
          <w:tcPr>
            <w:tcW w:w="8260" w:type="dxa"/>
            <w:vAlign w:val="bottom"/>
          </w:tcPr>
          <w:p>
            <w:pPr>
              <w:spacing w:after="0"/>
              <w:rPr>
                <w:sz w:val="16"/>
                <w:szCs w:val="16"/>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182"/>
        </w:trPr>
        <w:tc>
          <w:tcPr>
            <w:tcW w:w="8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0"/>
        </w:trPr>
        <w:tc>
          <w:tcPr>
            <w:tcW w:w="8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Raw materials and component parts</w:t>
            </w: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2,096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1,603</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Work-in-process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Finished goods</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inventories</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3,698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 net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1,</w:t>
            </w:r>
          </w:p>
        </w:tc>
      </w:tr>
      <w:tr>
        <w:trPr>
          <w:trHeight w:val="196"/>
        </w:trPr>
        <w:tc>
          <w:tcPr>
            <w:tcW w:w="8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182"/>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Land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Buildings and improvements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Machinery and equipment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8,642</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Computer equipment and software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Furniture and fixtures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Construction-in-process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06"/>
        </w:trPr>
        <w:tc>
          <w:tcPr>
            <w:tcW w:w="8260" w:type="dxa"/>
            <w:vAlign w:val="bottom"/>
          </w:tcPr>
          <w:p>
            <w:pPr>
              <w:ind w:left="220"/>
              <w:spacing w:after="0"/>
              <w:rPr>
                <w:sz w:val="20"/>
                <w:szCs w:val="20"/>
                <w:color w:val="auto"/>
              </w:rPr>
            </w:pPr>
            <w:r>
              <w:rPr>
                <w:rFonts w:ascii="Arial" w:cs="Arial" w:eastAsia="Arial" w:hAnsi="Arial"/>
                <w:sz w:val="16"/>
                <w:szCs w:val="16"/>
                <w:color w:val="auto"/>
              </w:rPr>
              <w:t>Property, plant and equipment, gross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12,250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11,970</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depreciation</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(8,300)</w:t>
            </w: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expense for property, plant and equipment totaled $695 million, $708 million and $726 million in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intangible assets as of June 30, 2023 and July 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June 30, 2023</w:t>
            </w: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5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Net Carrying Amount</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Amortization Period</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(in 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w w:val="98"/>
              </w:rPr>
              <w:t>(in millions)</w:t>
            </w:r>
          </w:p>
        </w:tc>
        <w:tc>
          <w:tcPr>
            <w:tcW w:w="6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Finite-lived:</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Existing technology</w:t>
            </w: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4,231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(4,231)</w:t>
            </w:r>
          </w:p>
        </w:tc>
        <w:tc>
          <w:tcPr>
            <w:tcW w:w="1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names and trademarks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14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Leasehold interests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200" w:type="dxa"/>
            <w:vAlign w:val="bottom"/>
          </w:tcPr>
          <w:p>
            <w:pPr>
              <w:ind w:left="260"/>
              <w:spacing w:after="0"/>
              <w:rPr>
                <w:sz w:val="20"/>
                <w:szCs w:val="20"/>
                <w:color w:val="auto"/>
              </w:rPr>
            </w:pPr>
            <w:r>
              <w:rPr>
                <w:rFonts w:ascii="Arial" w:cs="Arial" w:eastAsia="Arial" w:hAnsi="Arial"/>
                <w:sz w:val="16"/>
                <w:szCs w:val="16"/>
                <w:color w:val="auto"/>
              </w:rPr>
              <w:t>Total finite intangible assets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(5,491)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In-process research and development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5200" w:type="dxa"/>
            <w:vAlign w:val="bottom"/>
          </w:tcPr>
          <w:p>
            <w:pPr>
              <w:ind w:left="260"/>
              <w:spacing w:after="0"/>
              <w:rPr>
                <w:sz w:val="20"/>
                <w:szCs w:val="20"/>
                <w:color w:val="auto"/>
              </w:rPr>
            </w:pPr>
            <w:r>
              <w:rPr>
                <w:rFonts w:ascii="Arial" w:cs="Arial" w:eastAsia="Arial" w:hAnsi="Arial"/>
                <w:sz w:val="16"/>
                <w:szCs w:val="16"/>
                <w:color w:val="auto"/>
              </w:rPr>
              <w:t>Total intangible assets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(5,491)</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5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July 1, 2022</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5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Net Carrying Amount</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Amortization Period</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(in 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w w:val="98"/>
              </w:rPr>
              <w:t>(in millions)</w:t>
            </w:r>
          </w:p>
        </w:tc>
        <w:tc>
          <w:tcPr>
            <w:tcW w:w="6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Finite-lived:</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6"/>
                <w:szCs w:val="16"/>
                <w:color w:val="auto"/>
              </w:rPr>
              <w:t>Existing technology</w:t>
            </w: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4,231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(4,231)</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names and trademarks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14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Leasehold interests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200" w:type="dxa"/>
            <w:vAlign w:val="bottom"/>
          </w:tcPr>
          <w:p>
            <w:pPr>
              <w:ind w:left="240"/>
              <w:spacing w:after="0"/>
              <w:rPr>
                <w:sz w:val="20"/>
                <w:szCs w:val="20"/>
                <w:color w:val="auto"/>
              </w:rPr>
            </w:pPr>
            <w:r>
              <w:rPr>
                <w:rFonts w:ascii="Arial" w:cs="Arial" w:eastAsia="Arial" w:hAnsi="Arial"/>
                <w:sz w:val="16"/>
                <w:szCs w:val="16"/>
                <w:color w:val="auto"/>
              </w:rPr>
              <w:t>Total finite intangible assets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(5,360)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In-process research and development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(5,360)</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As part of prior acquisitions, the Company recorded at the time of the acquisition acquired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2023, 2022 and 2021, the Company did not record any impairment charges related to intangible assets.</w:t>
      </w:r>
    </w:p>
    <w:p>
      <w:pPr>
        <w:spacing w:after="0" w:line="252"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Intangible assets are amortized over the estimated useful lives based on the pattern in which the economic benefits are expected to be received. Amortization expense for intangible assets subject to amortization totaled $133 million, $221 million, and $486 million in 2023, 2022 and 2021, respectively. As of June 30, 2023, all finite-lived intangible assets were fully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40" w:type="dxa"/>
            <w:vAlign w:val="bottom"/>
          </w:tcPr>
          <w:p>
            <w:pPr>
              <w:jc w:val="right"/>
              <w:ind w:right="2"/>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6"/>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6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accrual, beginning of period</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Charges to operations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Utilization</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Changes in estimate related to pre-existing warranties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accrual, end of period</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26"/>
        </w:trPr>
        <w:tc>
          <w:tcPr>
            <w:tcW w:w="8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8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gridSpan w:val="3"/>
          </w:tcPr>
          <w:p>
            <w:pPr>
              <w:jc w:val="right"/>
              <w:ind w:right="59"/>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Pr>
          <w:p>
            <w:pPr>
              <w:spacing w:after="0"/>
              <w:rPr>
                <w:sz w:val="15"/>
                <w:szCs w:val="15"/>
                <w:color w:val="auto"/>
              </w:rPr>
            </w:pPr>
          </w:p>
        </w:tc>
      </w:tr>
      <w:tr>
        <w:trPr>
          <w:trHeight w:val="20"/>
        </w:trPr>
        <w:tc>
          <w:tcPr>
            <w:tcW w:w="8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accrual</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Current portion (included in Accrued expenses)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portion (included in Other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Total warranty accrual</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r>
      <w:tr>
        <w:trPr>
          <w:trHeight w:val="21"/>
        </w:trPr>
        <w:tc>
          <w:tcPr>
            <w:tcW w:w="8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940" w:type="dxa"/>
            <w:vAlign w:val="bottom"/>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25"/>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8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3"/>
          </w:tcPr>
          <w:p>
            <w:pPr>
              <w:jc w:val="right"/>
              <w:ind w:right="59"/>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Pr>
          <w:p>
            <w:pPr>
              <w:spacing w:after="0"/>
              <w:rPr>
                <w:sz w:val="15"/>
                <w:szCs w:val="15"/>
                <w:color w:val="auto"/>
              </w:rPr>
            </w:pPr>
          </w:p>
        </w:tc>
      </w:tr>
      <w:tr>
        <w:trPr>
          <w:trHeight w:val="20"/>
        </w:trPr>
        <w:tc>
          <w:tcPr>
            <w:tcW w:w="8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Non-current net tax payable</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659</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 portion of unrecognized tax benefits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r>
      <w:tr>
        <w:trPr>
          <w:trHeight w:val="23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liabilities</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52" w:lineRule="exact"/>
        <w:rPr>
          <w:sz w:val="20"/>
          <w:szCs w:val="20"/>
          <w:color w:val="auto"/>
        </w:rPr>
      </w:pPr>
    </w:p>
    <w:p>
      <w:pPr>
        <w:ind w:right="380" w:firstLine="324"/>
        <w:spacing w:after="0" w:line="284" w:lineRule="auto"/>
        <w:rPr>
          <w:sz w:val="20"/>
          <w:szCs w:val="20"/>
          <w:color w:val="auto"/>
        </w:rPr>
      </w:pPr>
      <w:r>
        <w:rPr>
          <w:rFonts w:ascii="Arial" w:cs="Arial" w:eastAsia="Arial" w:hAnsi="Arial"/>
          <w:sz w:val="17"/>
          <w:szCs w:val="17"/>
          <w:color w:val="auto"/>
        </w:rPr>
        <w:t>Accumulated other comprehensive loss (“AOCL”), net of tax, refers to expenses, gains and losses that are recorded as an element of shareholders’ equity but are excluded from net income. The following table illustrates the changes in the balances of each component of AOCL:</w:t>
      </w:r>
    </w:p>
    <w:tbl>
      <w:tblPr>
        <w:tblLayout w:type="fixed"/>
        <w:tblInd w:w="0" w:type="dxa"/>
        <w:tblCellMar>
          <w:top w:w="0" w:type="dxa"/>
          <w:left w:w="0" w:type="dxa"/>
          <w:bottom w:w="0" w:type="dxa"/>
          <w:right w:w="0" w:type="dxa"/>
        </w:tblCellMar>
      </w:tblPr>
      <w:tr>
        <w:trPr>
          <w:trHeight w:val="150"/>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Actuarial Pension</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0" w:lineRule="exact"/>
              <w:rPr>
                <w:sz w:val="20"/>
                <w:szCs w:val="20"/>
                <w:color w:val="auto"/>
              </w:rPr>
            </w:pPr>
            <w:r>
              <w:rPr>
                <w:rFonts w:ascii="Arial" w:cs="Arial" w:eastAsia="Arial" w:hAnsi="Arial"/>
                <w:sz w:val="14"/>
                <w:szCs w:val="14"/>
                <w:b w:val="1"/>
                <w:bCs w:val="1"/>
                <w:color w:val="auto"/>
                <w:w w:val="94"/>
              </w:rPr>
              <w:t>Foreign Currency</w:t>
            </w:r>
          </w:p>
        </w:tc>
        <w:tc>
          <w:tcPr>
            <w:tcW w:w="15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Losses on</w:t>
            </w:r>
          </w:p>
        </w:tc>
        <w:tc>
          <w:tcPr>
            <w:tcW w:w="120" w:type="dxa"/>
            <w:vAlign w:val="bottom"/>
          </w:tcPr>
          <w:p>
            <w:pPr>
              <w:spacing w:after="0"/>
              <w:rPr>
                <w:sz w:val="13"/>
                <w:szCs w:val="13"/>
                <w:color w:val="auto"/>
              </w:rPr>
            </w:pPr>
          </w:p>
        </w:tc>
        <w:tc>
          <w:tcPr>
            <w:tcW w:w="13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Translation</w:t>
            </w:r>
          </w:p>
        </w:tc>
        <w:tc>
          <w:tcPr>
            <w:tcW w:w="1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Derivative Contracts</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Comprehensive Loss</w:t>
            </w: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3"/>
          </w:tcPr>
          <w:p>
            <w:pPr>
              <w:jc w:val="right"/>
              <w:ind w:right="284"/>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July 2,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4"/>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66"/>
        </w:trPr>
        <w:tc>
          <w:tcPr>
            <w:tcW w:w="5200" w:type="dxa"/>
            <w:vAlign w:val="bottom"/>
          </w:tcPr>
          <w:p>
            <w:pPr>
              <w:ind w:left="140"/>
              <w:spacing w:after="0" w:line="166" w:lineRule="exact"/>
              <w:rPr>
                <w:sz w:val="20"/>
                <w:szCs w:val="20"/>
                <w:color w:val="auto"/>
              </w:rPr>
            </w:pPr>
            <w:r>
              <w:rPr>
                <w:rFonts w:ascii="Arial" w:cs="Arial" w:eastAsia="Arial" w:hAnsi="Arial"/>
                <w:sz w:val="16"/>
                <w:szCs w:val="16"/>
                <w:color w:val="auto"/>
                <w:w w:val="91"/>
              </w:rPr>
              <w:t>Income tax benefit (expense) related to items of other comprehensive income</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5200" w:type="dxa"/>
            <w:vAlign w:val="bottom"/>
          </w:tcPr>
          <w:p>
            <w:pPr>
              <w:ind w:left="140"/>
              <w:spacing w:after="0"/>
              <w:rPr>
                <w:sz w:val="20"/>
                <w:szCs w:val="20"/>
                <w:color w:val="auto"/>
              </w:rPr>
            </w:pPr>
            <w:r>
              <w:rPr>
                <w:rFonts w:ascii="Arial" w:cs="Arial" w:eastAsia="Arial" w:hAnsi="Arial"/>
                <w:sz w:val="16"/>
                <w:szCs w:val="16"/>
                <w:color w:val="auto"/>
              </w:rPr>
              <w:t>(loss)</w:t>
            </w: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current-period other comprehensive income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Balance at July 1, 2022</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169"/>
        </w:trPr>
        <w:tc>
          <w:tcPr>
            <w:tcW w:w="52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Income tax benefit (expense) related to items of other comprehensive income</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current-period other comprehensive income (loss)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During 2023 and 2022, the amounts reclassified out of AOCL included gains of $10 million and losses of $47 million, respectively, related to interest rate swaps and losses of $361 million and $125 million, respectively, related to foreign exchange contracts. The gains and losses related to interest rate swaps were charged to interest expense and losses related to foreign contracts were substantially all charged to Cost of revenue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Fair Value Measurements and Investments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52"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97"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52" w:lineRule="exact"/>
        <w:rPr>
          <w:sz w:val="20"/>
          <w:szCs w:val="20"/>
          <w:color w:val="auto"/>
        </w:rPr>
      </w:pPr>
    </w:p>
    <w:p>
      <w:pPr>
        <w:ind w:left="980" w:right="80" w:hanging="647"/>
        <w:spacing w:after="0" w:line="263" w:lineRule="auto"/>
        <w:tabs>
          <w:tab w:leader="none" w:pos="9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11"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Inputs that are unobservable for the asset or liability and that are significant to the fair value of the assets or liabilities.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July 1, 2022, and indicate the fair value hierarchy of the valuation techniques utilized to determine such values: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w w:val="90"/>
              </w:rPr>
              <w:t>June 30, 2023</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5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center"/>
              <w:ind w:left="642"/>
              <w:spacing w:after="0"/>
              <w:rPr>
                <w:sz w:val="20"/>
                <w:szCs w:val="20"/>
                <w:color w:val="auto"/>
              </w:rPr>
            </w:pPr>
            <w:r>
              <w:rPr>
                <w:rFonts w:ascii="Arial" w:cs="Arial" w:eastAsia="Arial" w:hAnsi="Arial"/>
                <w:sz w:val="14"/>
                <w:szCs w:val="14"/>
                <w:i w:val="1"/>
                <w:iCs w:val="1"/>
                <w:color w:val="auto"/>
                <w:w w:val="98"/>
              </w:rPr>
              <w:t>(in millions)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20"/>
              <w:spacing w:after="0"/>
              <w:rPr>
                <w:sz w:val="20"/>
                <w:szCs w:val="20"/>
                <w:color w:val="auto"/>
              </w:rPr>
            </w:pPr>
            <w:r>
              <w:rPr>
                <w:rFonts w:ascii="Arial" w:cs="Arial" w:eastAsia="Arial" w:hAnsi="Arial"/>
                <w:sz w:val="16"/>
                <w:szCs w:val="16"/>
                <w:color w:val="auto"/>
              </w:rPr>
              <w:t>Cash equivalents – Money market funds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7"/>
        </w:trPr>
        <w:tc>
          <w:tcPr>
            <w:tcW w:w="5220" w:type="dxa"/>
            <w:vAlign w:val="bottom"/>
          </w:tcPr>
          <w:p>
            <w:pPr>
              <w:ind w:left="520"/>
              <w:spacing w:after="0"/>
              <w:rPr>
                <w:sz w:val="20"/>
                <w:szCs w:val="20"/>
                <w:color w:val="auto"/>
              </w:rPr>
            </w:pPr>
            <w:r>
              <w:rPr>
                <w:rFonts w:ascii="Arial" w:cs="Arial" w:eastAsia="Arial" w:hAnsi="Arial"/>
                <w:sz w:val="16"/>
                <w:szCs w:val="16"/>
                <w:color w:val="auto"/>
              </w:rPr>
              <w:t>Total assets at fair value</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exchange contracts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liabilities at fair value</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w w:val="94"/>
              </w:rPr>
              <w:t>July 1, 2022</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5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center"/>
              <w:ind w:left="642"/>
              <w:spacing w:after="0"/>
              <w:rPr>
                <w:sz w:val="20"/>
                <w:szCs w:val="20"/>
                <w:color w:val="auto"/>
              </w:rPr>
            </w:pPr>
            <w:r>
              <w:rPr>
                <w:rFonts w:ascii="Arial" w:cs="Arial" w:eastAsia="Arial" w:hAnsi="Arial"/>
                <w:sz w:val="14"/>
                <w:szCs w:val="14"/>
                <w:i w:val="1"/>
                <w:iCs w:val="1"/>
                <w:color w:val="auto"/>
                <w:w w:val="98"/>
              </w:rPr>
              <w:t>(in millions)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20"/>
              <w:spacing w:after="0"/>
              <w:rPr>
                <w:sz w:val="20"/>
                <w:szCs w:val="20"/>
                <w:color w:val="auto"/>
              </w:rPr>
            </w:pPr>
            <w:r>
              <w:rPr>
                <w:rFonts w:ascii="Arial" w:cs="Arial" w:eastAsia="Arial" w:hAnsi="Arial"/>
                <w:sz w:val="16"/>
                <w:szCs w:val="16"/>
                <w:color w:val="auto"/>
              </w:rPr>
              <w:t>Cash equivalents – Money market funds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 rate swap contracts</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assets at fair value</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7"/>
        </w:trPr>
        <w:tc>
          <w:tcPr>
            <w:tcW w:w="5220" w:type="dxa"/>
            <w:vAlign w:val="bottom"/>
          </w:tcPr>
          <w:p>
            <w:pPr>
              <w:ind w:left="520"/>
              <w:spacing w:after="0"/>
              <w:rPr>
                <w:sz w:val="20"/>
                <w:szCs w:val="20"/>
                <w:color w:val="auto"/>
              </w:rPr>
            </w:pPr>
            <w:r>
              <w:rPr>
                <w:rFonts w:ascii="Arial" w:cs="Arial" w:eastAsia="Arial" w:hAnsi="Arial"/>
                <w:sz w:val="16"/>
                <w:szCs w:val="16"/>
                <w:color w:val="auto"/>
              </w:rPr>
              <w:t>Total liabilities at fair value</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Company’s money market funds are funds that invest in U.S. Treasury and U.S. Government agency securities.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are valued based on quoted market prices.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are short-term contracts to hedge the Company’s foreign currency risk.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Foreign 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7,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Derivative assets and liabilities are reflected in the Company’s Consolidated Balance Sheet under Other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assets and Accrued expenses, respectively.</w:t>
      </w:r>
    </w:p>
    <w:p>
      <w:pPr>
        <w:spacing w:after="0" w:line="21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Company’s interest rate swaps were long-term contracts to hedge the Company’s variable rate debt risk. Interest rate swaps</w:t>
      </w:r>
      <w:r>
        <w:rPr>
          <w:rFonts w:ascii="Arial" w:cs="Arial" w:eastAsia="Arial" w:hAnsi="Arial"/>
          <w:sz w:val="18"/>
          <w:szCs w:val="18"/>
          <w:i w:val="1"/>
          <w:iCs w:val="1"/>
          <w:color w:val="auto"/>
        </w:rPr>
        <w:t xml:space="preserve"> </w:t>
      </w:r>
      <w:r>
        <w:rPr>
          <w:rFonts w:ascii="Arial" w:cs="Arial" w:eastAsia="Arial" w:hAnsi="Arial"/>
          <w:sz w:val="18"/>
          <w:szCs w:val="18"/>
          <w:color w:val="auto"/>
        </w:rPr>
        <w:t>were valued based on estimated present value of future cash flows model. The market-based observable inputs for the model include interest rate curves and credit valuation adjustments based on published credit default swap curves.</w:t>
      </w:r>
    </w:p>
    <w:p>
      <w:pPr>
        <w:spacing w:after="0" w:line="21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During 2023 and 2022, the Company had no transfers of financial assets and liabilities between levels and there were no changes in valuation techniques and the inputs used in the fair value measurement.</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52" w:lineRule="exact"/>
        <w:rPr>
          <w:sz w:val="20"/>
          <w:szCs w:val="20"/>
          <w:color w:val="auto"/>
        </w:rPr>
      </w:pPr>
    </w:p>
    <w:p>
      <w:pPr>
        <w:ind w:firstLine="324"/>
        <w:spacing w:after="0" w:line="292"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fourth quarter of 2023 and the fourth quarter of 2022,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w w:val="96"/>
              </w:rPr>
              <w:t>June 30, 2023</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July 1, 2022</w:t>
            </w:r>
          </w:p>
        </w:tc>
        <w:tc>
          <w:tcPr>
            <w:tcW w:w="100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33"/>
        </w:trPr>
        <w:tc>
          <w:tcPr>
            <w:tcW w:w="520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Carrying</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382"/>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7"/>
              </w:rPr>
              <w:t>Carrying</w:t>
            </w:r>
          </w:p>
        </w:tc>
        <w:tc>
          <w:tcPr>
            <w:tcW w:w="4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501"/>
              <w:spacing w:after="0" w:line="133" w:lineRule="exact"/>
              <w:rPr>
                <w:sz w:val="20"/>
                <w:szCs w:val="20"/>
                <w:color w:val="auto"/>
              </w:rPr>
            </w:pPr>
            <w:r>
              <w:rPr>
                <w:rFonts w:ascii="Arial" w:cs="Arial" w:eastAsia="Arial" w:hAnsi="Arial"/>
                <w:sz w:val="14"/>
                <w:szCs w:val="14"/>
                <w:b w:val="1"/>
                <w:bCs w:val="1"/>
                <w:color w:val="auto"/>
              </w:rPr>
              <w:t>Fair</w:t>
            </w:r>
          </w:p>
        </w:tc>
      </w:tr>
      <w:tr>
        <w:trPr>
          <w:trHeight w:val="192"/>
        </w:trPr>
        <w:tc>
          <w:tcPr>
            <w:tcW w:w="5200" w:type="dxa"/>
            <w:vAlign w:val="bottom"/>
          </w:tcPr>
          <w:p>
            <w:pPr>
              <w:spacing w:after="0"/>
              <w:rPr>
                <w:sz w:val="16"/>
                <w:szCs w:val="16"/>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Value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r>
      <w:tr>
        <w:trPr>
          <w:trHeight w:val="182"/>
        </w:trPr>
        <w:tc>
          <w:tcPr>
            <w:tcW w:w="5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1.50% convertible notes due 2024</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1,099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4.75% senior unsecured notes due 2026</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2,293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2,205</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interest rate Term Loan A-2 maturing 2027</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2,687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r>
      <w:tr>
        <w:trPr>
          <w:trHeight w:val="226"/>
        </w:trPr>
        <w:tc>
          <w:tcPr>
            <w:tcW w:w="5200" w:type="dxa"/>
            <w:vAlign w:val="bottom"/>
          </w:tcPr>
          <w:p>
            <w:pPr>
              <w:ind w:left="20"/>
              <w:spacing w:after="0"/>
              <w:rPr>
                <w:sz w:val="20"/>
                <w:szCs w:val="20"/>
                <w:color w:val="auto"/>
              </w:rPr>
            </w:pPr>
            <w:r>
              <w:rPr>
                <w:rFonts w:ascii="Arial" w:cs="Arial" w:eastAsia="Arial" w:hAnsi="Arial"/>
                <w:sz w:val="16"/>
                <w:szCs w:val="16"/>
                <w:color w:val="auto"/>
              </w:rPr>
              <w:t>2.85% senior notes due 2029</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3.10% senior notes due 2032</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12"/>
        </w:trPr>
        <w:tc>
          <w:tcPr>
            <w:tcW w:w="5200" w:type="dxa"/>
            <w:vAlign w:val="bottom"/>
          </w:tcPr>
          <w:p>
            <w:pPr>
              <w:ind w:left="14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7,070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w:t>
            </w:r>
          </w:p>
        </w:tc>
      </w:tr>
      <w:tr>
        <w:trPr>
          <w:trHeight w:val="21"/>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5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As of June 30, 2023, the Company had outstanding foreign exchange forward contracts that were designated as either cash flow hedges or non-designated hedges. Substantially all of the contract maturity dates of these foreign exchange forward contracts do not exceed 12 months. As of June 30, 2023, the Company did not have any derivative contracts with credit-risk-related contingent features.</w:t>
      </w:r>
    </w:p>
    <w:p>
      <w:pPr>
        <w:spacing w:after="0" w:line="211"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Changes in fair values of the non-designated foreign exchange contracts are recognized in Other income, net and are largely offset by corresponding changes in the fair values of the foreign-currency denominated monetary assets and liabilities. For each of 2023, 2022 and 2021, total net realized and unrealized transaction and foreign exchange contract currency gains and losses were not material to the Company’s Consolidated Financial Statements.</w:t>
      </w:r>
    </w:p>
    <w:p>
      <w:pPr>
        <w:spacing w:after="0" w:line="17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 xml:space="preserve">Unrealized gains or losses on designated cash flow hedges are recognized in AOCL. For more information regarding cash flow hedges, see Note 5, </w:t>
      </w:r>
      <w:r>
        <w:rPr>
          <w:rFonts w:ascii="Arial" w:cs="Arial" w:eastAsia="Arial" w:hAnsi="Arial"/>
          <w:sz w:val="18"/>
          <w:szCs w:val="18"/>
          <w:i w:val="1"/>
          <w:iCs w:val="1"/>
          <w:color w:val="auto"/>
        </w:rPr>
        <w:t>Supplemental Financial Statement Data - Accumulated other comprehensive loss.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5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June 30, 2023 and July 1, 2022, the effect of rights of offset was not material and the Company did not offset or net the fair value amounts of derivative instruments in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consisted of the following as of June 30, 2023 and July 1,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1,</w:t>
            </w:r>
          </w:p>
        </w:tc>
      </w:t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182"/>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1.50% convertible notes due 2024</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4.75% senior unsecured notes due 2026</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interest rate Term Loan A-2 maturing 2027</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2.85% senior notes due 2029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3.10% senior notes due 2032</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7"/>
        </w:trPr>
        <w:tc>
          <w:tcPr>
            <w:tcW w:w="826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7,100</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 and debt discounts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7"/>
        </w:trPr>
        <w:tc>
          <w:tcPr>
            <w:tcW w:w="8260" w:type="dxa"/>
            <w:vAlign w:val="bottom"/>
          </w:tcPr>
          <w:p>
            <w:pPr>
              <w:ind w:left="220"/>
              <w:spacing w:after="0"/>
              <w:rPr>
                <w:sz w:val="20"/>
                <w:szCs w:val="20"/>
                <w:color w:val="auto"/>
              </w:rPr>
            </w:pPr>
            <w:r>
              <w:rPr>
                <w:rFonts w:ascii="Arial" w:cs="Arial" w:eastAsia="Arial" w:hAnsi="Arial"/>
                <w:sz w:val="16"/>
                <w:szCs w:val="16"/>
                <w:color w:val="auto"/>
              </w:rPr>
              <w:t>Subtotal</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7,070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7,022</w:t>
            </w:r>
          </w:p>
        </w:tc>
      </w:tr>
      <w:tr>
        <w:trPr>
          <w:trHeight w:val="216"/>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Less current portion of long-term debt</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48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7,022</w:t>
            </w:r>
          </w:p>
        </w:tc>
      </w:tr>
      <w:tr>
        <w:trPr>
          <w:trHeight w:val="21"/>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During the year ended June 30, 2023, the Company entered into a first amendment (“Amendment No. 1”) and a second amendment (“Amendment No. 2”, and together with Amendment No. 1, the “Credit Agreement Amendments”) to the Company’s Amended and Restated Loan Agreement, dated as of January 7, 2022 which governs the Term-Loan A-2 and the revolving credit facility maturing in January 2027 (as amended, the “Credit Agreement”).</w:t>
      </w:r>
    </w:p>
    <w:p>
      <w:pPr>
        <w:spacing w:after="0" w:line="161" w:lineRule="exact"/>
        <w:rPr>
          <w:sz w:val="20"/>
          <w:szCs w:val="20"/>
          <w:color w:val="auto"/>
        </w:rPr>
      </w:pPr>
    </w:p>
    <w:p>
      <w:pPr>
        <w:jc w:val="both"/>
        <w:ind w:right="600" w:firstLine="324"/>
        <w:spacing w:after="0" w:line="248" w:lineRule="auto"/>
        <w:rPr>
          <w:sz w:val="20"/>
          <w:szCs w:val="20"/>
          <w:color w:val="auto"/>
        </w:rPr>
      </w:pPr>
      <w:r>
        <w:rPr>
          <w:rFonts w:ascii="Arial" w:cs="Arial" w:eastAsia="Arial" w:hAnsi="Arial"/>
          <w:sz w:val="18"/>
          <w:szCs w:val="18"/>
          <w:color w:val="auto"/>
        </w:rPr>
        <w:t>The Credit Agreement Amendments, among other things, (a) modified the leverage ratio requirements, and (b) introduced a minimum liquidity covenant applicable through the Company’s quarter ending September 27, 2024 and a minimum free cash flow requirement applicable through the Company’s quarter ending December 29, 2023.</w:t>
      </w:r>
    </w:p>
    <w:p>
      <w:pPr>
        <w:spacing w:after="0" w:line="209" w:lineRule="exact"/>
        <w:rPr>
          <w:sz w:val="20"/>
          <w:szCs w:val="20"/>
          <w:color w:val="auto"/>
        </w:rPr>
      </w:pPr>
    </w:p>
    <w:p>
      <w:pPr>
        <w:ind w:right="360" w:firstLine="324"/>
        <w:spacing w:after="0" w:line="262" w:lineRule="auto"/>
        <w:rPr>
          <w:sz w:val="20"/>
          <w:szCs w:val="20"/>
          <w:color w:val="auto"/>
        </w:rPr>
      </w:pPr>
      <w:r>
        <w:rPr>
          <w:rFonts w:ascii="Arial" w:cs="Arial" w:eastAsia="Arial" w:hAnsi="Arial"/>
          <w:sz w:val="17"/>
          <w:szCs w:val="17"/>
          <w:color w:val="auto"/>
        </w:rPr>
        <w:t>The Credit Agreement Amendments also accelerate the due date for amounts outstanding under the Credit Agreement from January 7, 2027 to November 2, 2023 if, as of that date, the Company does not have cash and cash equivalents plus available unused capacity under its 2027 Revolving Facility (as defined below) that is at least $1.40 billion plus the aggregate principal amount of indebtedness that matures within 12 months of such date (including the 2024 Convertible Notes and the Delayed Draw Term Loan (as such terms are defined below)).</w:t>
      </w:r>
    </w:p>
    <w:p>
      <w:pPr>
        <w:spacing w:after="0" w:line="199"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As amended, the Company is required to comply with maintaining a maximum ratio (“Leverage Ratio”) of total funded debt to Consolidated Adjusted EBITDA (as defined in the Credit Agreement) at the end of each quarter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Quarter ending</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Leverage ratio</w:t>
            </w:r>
          </w:p>
        </w:tc>
      </w:tr>
      <w:tr>
        <w:trPr>
          <w:trHeight w:val="213"/>
        </w:trPr>
        <w:tc>
          <w:tcPr>
            <w:tcW w:w="5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30, 2023</w:t>
            </w:r>
          </w:p>
        </w:tc>
        <w:tc>
          <w:tcPr>
            <w:tcW w:w="5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5.50 to 1.00</w:t>
            </w:r>
          </w:p>
        </w:tc>
      </w:tr>
      <w:tr>
        <w:trPr>
          <w:trHeight w:val="216"/>
        </w:trPr>
        <w:tc>
          <w:tcPr>
            <w:tcW w:w="5700" w:type="dxa"/>
            <w:vAlign w:val="bottom"/>
          </w:tcPr>
          <w:p>
            <w:pPr>
              <w:jc w:val="center"/>
              <w:spacing w:after="0"/>
              <w:rPr>
                <w:sz w:val="20"/>
                <w:szCs w:val="20"/>
                <w:color w:val="auto"/>
              </w:rPr>
            </w:pPr>
            <w:r>
              <w:rPr>
                <w:rFonts w:ascii="Arial" w:cs="Arial" w:eastAsia="Arial" w:hAnsi="Arial"/>
                <w:sz w:val="16"/>
                <w:szCs w:val="16"/>
                <w:color w:val="auto"/>
                <w:w w:val="89"/>
              </w:rPr>
              <w:t>September 29, 2023</w:t>
            </w:r>
          </w:p>
        </w:tc>
        <w:tc>
          <w:tcPr>
            <w:tcW w:w="5540" w:type="dxa"/>
            <w:vAlign w:val="bottom"/>
          </w:tcPr>
          <w:p>
            <w:pPr>
              <w:jc w:val="center"/>
              <w:spacing w:after="0" w:line="216" w:lineRule="exact"/>
              <w:rPr>
                <w:sz w:val="20"/>
                <w:szCs w:val="20"/>
                <w:color w:val="auto"/>
              </w:rPr>
            </w:pPr>
            <w:r>
              <w:rPr>
                <w:rFonts w:ascii="Arial" w:cs="Arial" w:eastAsia="Arial" w:hAnsi="Arial"/>
                <w:sz w:val="16"/>
                <w:szCs w:val="16"/>
                <w:color w:val="auto"/>
                <w:w w:val="92"/>
              </w:rPr>
              <w:t>N/A</w:t>
            </w:r>
            <w:r>
              <w:rPr>
                <w:rFonts w:ascii="Arial" w:cs="Arial" w:eastAsia="Arial" w:hAnsi="Arial"/>
                <w:sz w:val="21"/>
                <w:szCs w:val="21"/>
                <w:color w:val="auto"/>
                <w:w w:val="92"/>
                <w:vertAlign w:val="superscript"/>
              </w:rPr>
              <w:t>(1)</w:t>
            </w:r>
            <w:r>
              <w:rPr>
                <w:rFonts w:ascii="Arial" w:cs="Arial" w:eastAsia="Arial" w:hAnsi="Arial"/>
                <w:sz w:val="16"/>
                <w:szCs w:val="16"/>
                <w:color w:val="auto"/>
                <w:w w:val="92"/>
              </w:rPr>
              <w:t xml:space="preserve"> to 1.00</w:t>
            </w:r>
          </w:p>
        </w:tc>
      </w:tr>
      <w:tr>
        <w:trPr>
          <w:trHeight w:val="216"/>
        </w:trPr>
        <w:tc>
          <w:tcPr>
            <w:tcW w:w="5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December 29, 2023</w:t>
            </w:r>
          </w:p>
        </w:tc>
        <w:tc>
          <w:tcPr>
            <w:tcW w:w="55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2"/>
              </w:rPr>
              <w:t>N/A</w:t>
            </w:r>
            <w:r>
              <w:rPr>
                <w:rFonts w:ascii="Arial" w:cs="Arial" w:eastAsia="Arial" w:hAnsi="Arial"/>
                <w:sz w:val="21"/>
                <w:szCs w:val="21"/>
                <w:color w:val="auto"/>
                <w:w w:val="92"/>
                <w:vertAlign w:val="superscript"/>
              </w:rPr>
              <w:t>(1)</w:t>
            </w:r>
            <w:r>
              <w:rPr>
                <w:rFonts w:ascii="Arial" w:cs="Arial" w:eastAsia="Arial" w:hAnsi="Arial"/>
                <w:sz w:val="16"/>
                <w:szCs w:val="16"/>
                <w:color w:val="auto"/>
                <w:w w:val="92"/>
              </w:rPr>
              <w:t xml:space="preserve"> to 1.00</w:t>
            </w:r>
          </w:p>
        </w:tc>
      </w:tr>
      <w:tr>
        <w:trPr>
          <w:trHeight w:val="213"/>
        </w:trPr>
        <w:tc>
          <w:tcPr>
            <w:tcW w:w="5700" w:type="dxa"/>
            <w:vAlign w:val="bottom"/>
          </w:tcPr>
          <w:p>
            <w:pPr>
              <w:jc w:val="center"/>
              <w:spacing w:after="0"/>
              <w:rPr>
                <w:sz w:val="20"/>
                <w:szCs w:val="20"/>
                <w:color w:val="auto"/>
              </w:rPr>
            </w:pPr>
            <w:r>
              <w:rPr>
                <w:rFonts w:ascii="Arial" w:cs="Arial" w:eastAsia="Arial" w:hAnsi="Arial"/>
                <w:sz w:val="16"/>
                <w:szCs w:val="16"/>
                <w:color w:val="auto"/>
                <w:w w:val="93"/>
              </w:rPr>
              <w:t>March 29, 2024</w:t>
            </w:r>
          </w:p>
        </w:tc>
        <w:tc>
          <w:tcPr>
            <w:tcW w:w="5540" w:type="dxa"/>
            <w:vAlign w:val="bottom"/>
          </w:tcPr>
          <w:p>
            <w:pPr>
              <w:jc w:val="center"/>
              <w:spacing w:after="0"/>
              <w:rPr>
                <w:sz w:val="20"/>
                <w:szCs w:val="20"/>
                <w:color w:val="auto"/>
              </w:rPr>
            </w:pPr>
            <w:r>
              <w:rPr>
                <w:rFonts w:ascii="Arial" w:cs="Arial" w:eastAsia="Arial" w:hAnsi="Arial"/>
                <w:sz w:val="16"/>
                <w:szCs w:val="16"/>
                <w:color w:val="auto"/>
                <w:w w:val="92"/>
              </w:rPr>
              <w:t>6.25 to 1.00</w:t>
            </w:r>
          </w:p>
        </w:tc>
      </w:tr>
      <w:tr>
        <w:trPr>
          <w:trHeight w:val="219"/>
        </w:trPr>
        <w:tc>
          <w:tcPr>
            <w:tcW w:w="5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28, 2024</w:t>
            </w:r>
          </w:p>
        </w:tc>
        <w:tc>
          <w:tcPr>
            <w:tcW w:w="5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5.25 to 1.00</w:t>
            </w:r>
          </w:p>
        </w:tc>
      </w:tr>
      <w:tr>
        <w:trPr>
          <w:trHeight w:val="213"/>
        </w:trPr>
        <w:tc>
          <w:tcPr>
            <w:tcW w:w="5700" w:type="dxa"/>
            <w:vAlign w:val="bottom"/>
          </w:tcPr>
          <w:p>
            <w:pPr>
              <w:jc w:val="center"/>
              <w:spacing w:after="0"/>
              <w:rPr>
                <w:sz w:val="20"/>
                <w:szCs w:val="20"/>
                <w:color w:val="auto"/>
              </w:rPr>
            </w:pPr>
            <w:r>
              <w:rPr>
                <w:rFonts w:ascii="Arial" w:cs="Arial" w:eastAsia="Arial" w:hAnsi="Arial"/>
                <w:sz w:val="16"/>
                <w:szCs w:val="16"/>
                <w:color w:val="auto"/>
                <w:w w:val="89"/>
              </w:rPr>
              <w:t>September 27, 2024</w:t>
            </w:r>
          </w:p>
        </w:tc>
        <w:tc>
          <w:tcPr>
            <w:tcW w:w="5540" w:type="dxa"/>
            <w:vAlign w:val="bottom"/>
          </w:tcPr>
          <w:p>
            <w:pPr>
              <w:jc w:val="center"/>
              <w:spacing w:after="0"/>
              <w:rPr>
                <w:sz w:val="20"/>
                <w:szCs w:val="20"/>
                <w:color w:val="auto"/>
              </w:rPr>
            </w:pPr>
            <w:r>
              <w:rPr>
                <w:rFonts w:ascii="Arial" w:cs="Arial" w:eastAsia="Arial" w:hAnsi="Arial"/>
                <w:sz w:val="16"/>
                <w:szCs w:val="16"/>
                <w:color w:val="auto"/>
                <w:w w:val="92"/>
              </w:rPr>
              <w:t>5.00 to 1.00</w:t>
            </w:r>
          </w:p>
        </w:tc>
      </w:tr>
      <w:tr>
        <w:trPr>
          <w:trHeight w:val="219"/>
        </w:trPr>
        <w:tc>
          <w:tcPr>
            <w:tcW w:w="5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December 27, 2024</w:t>
            </w:r>
          </w:p>
        </w:tc>
        <w:tc>
          <w:tcPr>
            <w:tcW w:w="5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4.50 to 1.00</w:t>
            </w:r>
          </w:p>
        </w:tc>
      </w:tr>
      <w:tr>
        <w:trPr>
          <w:trHeight w:val="213"/>
        </w:trPr>
        <w:tc>
          <w:tcPr>
            <w:tcW w:w="5700" w:type="dxa"/>
            <w:vAlign w:val="bottom"/>
          </w:tcPr>
          <w:p>
            <w:pPr>
              <w:jc w:val="center"/>
              <w:spacing w:after="0"/>
              <w:rPr>
                <w:sz w:val="20"/>
                <w:szCs w:val="20"/>
                <w:color w:val="auto"/>
              </w:rPr>
            </w:pPr>
            <w:r>
              <w:rPr>
                <w:rFonts w:ascii="Arial" w:cs="Arial" w:eastAsia="Arial" w:hAnsi="Arial"/>
                <w:sz w:val="16"/>
                <w:szCs w:val="16"/>
                <w:color w:val="auto"/>
                <w:w w:val="93"/>
              </w:rPr>
              <w:t>March 28, 2025</w:t>
            </w:r>
          </w:p>
        </w:tc>
        <w:tc>
          <w:tcPr>
            <w:tcW w:w="5540" w:type="dxa"/>
            <w:vAlign w:val="bottom"/>
          </w:tcPr>
          <w:p>
            <w:pPr>
              <w:jc w:val="center"/>
              <w:spacing w:after="0"/>
              <w:rPr>
                <w:sz w:val="20"/>
                <w:szCs w:val="20"/>
                <w:color w:val="auto"/>
              </w:rPr>
            </w:pPr>
            <w:r>
              <w:rPr>
                <w:rFonts w:ascii="Arial" w:cs="Arial" w:eastAsia="Arial" w:hAnsi="Arial"/>
                <w:sz w:val="16"/>
                <w:szCs w:val="16"/>
                <w:color w:val="auto"/>
                <w:w w:val="92"/>
              </w:rPr>
              <w:t>4.00 to 1.00</w:t>
            </w:r>
          </w:p>
        </w:tc>
      </w:tr>
      <w:tr>
        <w:trPr>
          <w:trHeight w:val="219"/>
        </w:trPr>
        <w:tc>
          <w:tcPr>
            <w:tcW w:w="5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25, 2025</w:t>
            </w:r>
          </w:p>
        </w:tc>
        <w:tc>
          <w:tcPr>
            <w:tcW w:w="5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3.75 to 1.00</w:t>
            </w:r>
          </w:p>
        </w:tc>
      </w:tr>
      <w:tr>
        <w:trPr>
          <w:trHeight w:val="210"/>
        </w:trPr>
        <w:tc>
          <w:tcPr>
            <w:tcW w:w="5700" w:type="dxa"/>
            <w:vAlign w:val="bottom"/>
          </w:tcPr>
          <w:p>
            <w:pPr>
              <w:jc w:val="center"/>
              <w:spacing w:after="0"/>
              <w:rPr>
                <w:sz w:val="20"/>
                <w:szCs w:val="20"/>
                <w:color w:val="auto"/>
              </w:rPr>
            </w:pPr>
            <w:r>
              <w:rPr>
                <w:rFonts w:ascii="Arial" w:cs="Arial" w:eastAsia="Arial" w:hAnsi="Arial"/>
                <w:sz w:val="16"/>
                <w:szCs w:val="16"/>
                <w:color w:val="auto"/>
                <w:w w:val="92"/>
              </w:rPr>
              <w:t>Thereafter</w:t>
            </w:r>
          </w:p>
        </w:tc>
        <w:tc>
          <w:tcPr>
            <w:tcW w:w="5540" w:type="dxa"/>
            <w:vAlign w:val="bottom"/>
          </w:tcPr>
          <w:p>
            <w:pPr>
              <w:jc w:val="center"/>
              <w:spacing w:after="0"/>
              <w:rPr>
                <w:sz w:val="20"/>
                <w:szCs w:val="20"/>
                <w:color w:val="auto"/>
              </w:rPr>
            </w:pPr>
            <w:r>
              <w:rPr>
                <w:rFonts w:ascii="Arial" w:cs="Arial" w:eastAsia="Arial" w:hAnsi="Arial"/>
                <w:sz w:val="16"/>
                <w:szCs w:val="16"/>
                <w:color w:val="auto"/>
                <w:w w:val="92"/>
              </w:rPr>
              <w:t>3.25 to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405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4"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Leverage ratio is not required.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7"/>
          <w:szCs w:val="17"/>
          <w:color w:val="auto"/>
        </w:rPr>
        <w:t>For the purpose of the Leverage Ratio, Consolidated Adjusted EBITDA is calculated on a trailing twelve-month basis, except that for the quarters ending March 29, 2024, June 28, 2024 and September 27, 2024, Consolidated Adjusted EBITDA shall be: (a) for the quarter ending March 29, 2024, Consolidated Adjusted EBITDA for such quarter multiplied by four, (b) for the quarter ending June 28, 2024, Consolidated Adjusted EBITDA for such quarter and the immediately preceding quarter multiplied by two and (c) for the quarter ending September 27, 2024, Consolidated Adjusted EBITDA for such quarter and the two immediately preceding quarters multiplied by four-thirds.</w:t>
      </w:r>
    </w:p>
    <w:p>
      <w:pPr>
        <w:spacing w:after="0" w:line="201" w:lineRule="exact"/>
        <w:rPr>
          <w:sz w:val="20"/>
          <w:szCs w:val="20"/>
          <w:color w:val="auto"/>
        </w:rPr>
      </w:pPr>
    </w:p>
    <w:p>
      <w:pPr>
        <w:ind w:firstLine="324"/>
        <w:spacing w:after="0" w:line="252" w:lineRule="auto"/>
        <w:rPr>
          <w:sz w:val="20"/>
          <w:szCs w:val="20"/>
          <w:color w:val="auto"/>
        </w:rPr>
      </w:pPr>
      <w:r>
        <w:rPr>
          <w:rFonts w:ascii="Arial" w:cs="Arial" w:eastAsia="Arial" w:hAnsi="Arial"/>
          <w:sz w:val="17"/>
          <w:szCs w:val="17"/>
          <w:color w:val="auto"/>
        </w:rPr>
        <w:t>In addition, the Credit Agreement requires the Company and its subsidiaries to maintain minimum liquidity (defined as the sum of cash and cash equivalents plus available unused capacity under its 2027 Revolving Facility less the aggregate principal amount of indebtedness that matures within 12 months of such date, excluding indebtedness under the Delayed Draw Term Loan Agreement (as defined below)) of $2.00 billion at the end of each quarter through September 23, 2024, and Free Cash Flow (as defined in the Credit Agreement) of no less than $(550) million as of June 30, 2023, $(500) million as of September 29, 2023 and $(500) million as of December 29, 2023; provided that if Free Cash Flow is greater than the amount noted as of the applicable quarter end date, the amount by which Free Cash Flow exceeds the stated amount may be carried forward to subsequent quarters such that the minimum Free Cash Flow amount for such fiscal quarter is increased by the amount of such excess. As of June 30, 2023, the Company was in compliance with all financial covenants under the Credit Agreement.</w:t>
      </w:r>
    </w:p>
    <w:p>
      <w:pPr>
        <w:spacing w:after="0" w:line="208" w:lineRule="exact"/>
        <w:rPr>
          <w:sz w:val="20"/>
          <w:szCs w:val="20"/>
          <w:color w:val="auto"/>
        </w:rPr>
      </w:pPr>
    </w:p>
    <w:p>
      <w:pPr>
        <w:ind w:right="100" w:firstLine="324"/>
        <w:spacing w:after="0" w:line="243" w:lineRule="auto"/>
        <w:rPr>
          <w:sz w:val="20"/>
          <w:szCs w:val="20"/>
          <w:color w:val="auto"/>
        </w:rPr>
      </w:pPr>
      <w:r>
        <w:rPr>
          <w:rFonts w:ascii="Arial" w:cs="Arial" w:eastAsia="Arial" w:hAnsi="Arial"/>
          <w:sz w:val="18"/>
          <w:szCs w:val="18"/>
          <w:color w:val="auto"/>
        </w:rPr>
        <w:t>The Credit Agreement also requires the Company to comply with customary covenants that include,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certain modifications of organizational documents and certain debt agreements.</w:t>
      </w:r>
    </w:p>
    <w:p>
      <w:pPr>
        <w:spacing w:after="0" w:line="215" w:lineRule="exact"/>
        <w:rPr>
          <w:sz w:val="20"/>
          <w:szCs w:val="20"/>
          <w:color w:val="auto"/>
        </w:rPr>
      </w:pPr>
    </w:p>
    <w:p>
      <w:pPr>
        <w:ind w:right="60" w:firstLine="324"/>
        <w:spacing w:after="0" w:line="264" w:lineRule="auto"/>
        <w:rPr>
          <w:sz w:val="20"/>
          <w:szCs w:val="20"/>
          <w:color w:val="auto"/>
        </w:rPr>
      </w:pPr>
      <w:r>
        <w:rPr>
          <w:rFonts w:ascii="Arial" w:cs="Arial" w:eastAsia="Arial" w:hAnsi="Arial"/>
          <w:sz w:val="16"/>
          <w:szCs w:val="16"/>
          <w:color w:val="auto"/>
        </w:rPr>
        <w:t>The Term Loan A-2 Loan bears interest, at the Company’s option, at a per annum rate equal to either (x) the Adjusted Term SOFR (as defined in the Loan Agreement) plus an applicable margin varying from 1.125% to 2.000% or (y) a base rate plus an applicable margin varying from 0.125% to 1.000%, in each case depending on the corporate family ratings of the Company from at least two of Standard &amp; Poor’s Ratings Services (“S&amp;P”), Moody’s Investors Service, Inc. (“Moody’s”) and Fitch Ratings, Inc. (“Fitch”), with an initial interest rate of Adjusted Term SOFR plus 1.375%. During 2022, the Company made scheduled and voluntary principal payments aggregating $300 million on its Term Loan A-2. $150 million was applied toward scheduled amortization through the quarter ending September 29, 2023 and the remainder towards the principal due at maturity. The annualized interest rate for Term Loan A-2 as of June 30, 2023 was 6.557%. As of June 30, 2023, the remaining balance of Term Loan A-2 amortizes in quarterly installments of</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$38 million per quarter beginning with the quarter ending December 29, 2023, and the remaining balance is payable at maturity on January 7, 2027.</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Issuance costs for Term Loan A-2 are amortized to Interest expense over its term and unamortized costs were $13 million as of June 30, 2023.</w:t>
      </w:r>
    </w:p>
    <w:p>
      <w:pPr>
        <w:spacing w:after="0" w:line="234"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During the year ended June 30, 2023, the Company drew and repaid $1.18 billion principal amount under its $2.25 billion revolving credit facility maturing in January 2027 (the “2027 Revolving Facility”).</w:t>
      </w:r>
    </w:p>
    <w:p>
      <w:pPr>
        <w:spacing w:after="0" w:line="21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Loans under the 2027 Revolving Facility bear interest at a per annum rate, at the Company’s option, equal to either (x) the Adjusted Term SOFR Rate (as defined in the Loan Agreement) plus an applicable margin varying from 1.125% to 2.000% or (y) a base rate plus an applicable margin varying from 0.125% to 1.000%, in each case depending on the corporate family ratings of the Company from at least two of S&amp;P, Moody’s and Fitch, with an initial rate of Adjusted Term SOFR plus 1.375%. The Company is also required to pay an unused commitment fee on the 2027 Revolving Facility ranging from 0.120% to 0.350% based on the corporate family ratings of the Company from at least two of S&amp;P, Moody’s and Fitch, with an initial unused commitment fee of 0.200%.</w:t>
      </w:r>
    </w:p>
    <w:p>
      <w:pPr>
        <w:spacing w:after="0" w:line="206" w:lineRule="exact"/>
        <w:rPr>
          <w:sz w:val="20"/>
          <w:szCs w:val="20"/>
          <w:color w:val="auto"/>
        </w:rPr>
      </w:pPr>
    </w:p>
    <w:p>
      <w:pPr>
        <w:ind w:right="320" w:firstLine="324"/>
        <w:spacing w:after="0" w:line="279" w:lineRule="auto"/>
        <w:rPr>
          <w:sz w:val="20"/>
          <w:szCs w:val="20"/>
          <w:color w:val="auto"/>
        </w:rPr>
      </w:pPr>
      <w:r>
        <w:rPr>
          <w:rFonts w:ascii="Arial" w:cs="Arial" w:eastAsia="Arial" w:hAnsi="Arial"/>
          <w:sz w:val="16"/>
          <w:szCs w:val="16"/>
          <w:color w:val="auto"/>
        </w:rPr>
        <w:t>In January 2023, the Company entered into a loan agreement (the “Delayed Draw Term Loan Agreement”), which allowed the Company to draw a single loan of up to $875 million through June 30, 2023. In June 2023, the Company entered into a first amendment and a second amendment to the Delayed Draw Term Loan Agreement (as amended, the “Amended Delayed Draw Term Loan Agreement”), which together extended the term loan commitments under the Delayed Draw Term Loan Agreement until August 14, 2023, and reduced the term loan commitments from $875 million to $600 million (the “Delayed Draw Term Loan”). As of June 30, 2023, the Company had not drawn on the Delayed Draw Term Loan.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160" w:firstLine="324"/>
        <w:spacing w:after="0" w:line="284" w:lineRule="auto"/>
        <w:rPr>
          <w:sz w:val="20"/>
          <w:szCs w:val="20"/>
          <w:color w:val="auto"/>
        </w:rPr>
      </w:pPr>
      <w:r>
        <w:rPr>
          <w:rFonts w:ascii="Arial" w:cs="Arial" w:eastAsia="Arial" w:hAnsi="Arial"/>
          <w:sz w:val="16"/>
          <w:szCs w:val="16"/>
          <w:color w:val="auto"/>
        </w:rPr>
        <w:t>In August 2023, the Company drew the Delayed Draw Term Loan in the amount of $600 million. The principal amount of the Delayed Draw Term Loan will mature on June 28, 2024. However, the due date will be accelerated to November 2, 2023, if, as of that date, the Company does not have cash and cash equivalents plus available unused capacity under its 2027 Revolving Facility that is at least $1.40 billion plus the aggregate principal amount of indebtedness that matures within 12 months (including the 2024 Convertible Notes (as defined below) and the Delayed Draw Term Loan).</w:t>
      </w:r>
    </w:p>
    <w:p>
      <w:pPr>
        <w:spacing w:after="0" w:line="182" w:lineRule="exact"/>
        <w:rPr>
          <w:sz w:val="20"/>
          <w:szCs w:val="20"/>
          <w:color w:val="auto"/>
        </w:rPr>
      </w:pPr>
    </w:p>
    <w:p>
      <w:pPr>
        <w:ind w:right="60" w:firstLine="324"/>
        <w:spacing w:after="0" w:line="238" w:lineRule="auto"/>
        <w:rPr>
          <w:sz w:val="20"/>
          <w:szCs w:val="20"/>
          <w:color w:val="auto"/>
        </w:rPr>
      </w:pPr>
      <w:r>
        <w:rPr>
          <w:rFonts w:ascii="Arial" w:cs="Arial" w:eastAsia="Arial" w:hAnsi="Arial"/>
          <w:sz w:val="18"/>
          <w:szCs w:val="18"/>
          <w:color w:val="auto"/>
        </w:rPr>
        <w:t>The Delayed Draw Term Loan bears interest, at the Company’s option, at a per annum rate equal to either (x) the Adjusted Term SOFR Rate (as defined in the Amended Delayed Draw Term Loan Agreement) plus an applicable margin varying from 1.750% to 2.625% or (y) a base rate plus an applicable margin varying from 0.750% to 1.625%, in each case depending on the corporate family ratings of the Company from at least two of the Credit Rating Agencies (as defined in the Amended Delayed Draw Term Loan Agreement). The Company pays an unused commitment fee on the Delayed Draw Term Loan Agreement of 0.200%.</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key covenants, limitations and requirements provided under the Credit Agreement noted above also apply to the Amended Delayed Draw Term Loan Agreement.</w:t>
      </w:r>
    </w:p>
    <w:p>
      <w:pPr>
        <w:spacing w:after="0" w:line="19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December 2021, the Company issued $500 million aggregate principal amount of 2.850% senior notes due February 1, 2029 (the “2029 Senior Notes”) and issued $500 million aggregate principal amount of 3.100% senior notes due February 1, 2032 (the “2032 Senior Notes”) pursuant to the terms of an indenture, dated as of December 10, 2021 (the “Base Indenture”) between the Company and U.S. Bank National Association, as trustee (the “Senior Notes Trustee”), as supplemented by the first supplemental indenture dated as of December 10, 2021 (the “Senior Notes First Supplemental Indenture”) between the Company and the Senior Notes Trustee. As used herein, “Indenture” means the Base Indenture, as supplemented by the Senior Notes First Supplemental Indenture. Interest for both the 2029 Senior Notes and 2032 Senior Notes is payable on February 1 and August 1 of each year. The Company is not required to make principal payments on either the 2029 Senior Notes or 2032 Senior Notes prior to their maturity dates.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February 2018, the Company issued $1.10 billion aggregate principal amount of convertible senior notes due February 1, 2024 (the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Notes”). The 2024 Convertible Notes bear interest at an annual rate of 1.50% with interest payable on February 1 and August 1 of each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required to make principal payments on the 2024 Convertible Notes prior to the maturity date.</w:t>
      </w:r>
    </w:p>
    <w:p>
      <w:pPr>
        <w:spacing w:after="0" w:line="23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Holders of the 2024 Convertible Notes may freely convert their 2024 Convertible Notes on or after November 1, 2023 until the close of business on the business day immediately preceding the maturity date at an initial conversion price of $121.91 per share of common stock. Prior to November 1, 2023, holders may convert their 2024 Convertible Notes based on variations in market price of the Company’s common stock in relation to the conversion price or the trading price of the 2024 Convertible Notes or upon the occurrence of specified corporate events. The Company is required to settle any conversion value with the principal amount of the 2024 Convertible Notes settled in cash and any excess value in cash, shares of the Company’s common stock, or a combination thereof, pursuant to the terms of an indenture, dated as of February 13, 2018 between the Company, HGST, Inc., WD Media, LLC, Western Digital (Fremont), LLC, Western Digital Technologies, Inc. and U.S. Bank National Association, as trustee (the “ Convertible Notes Trustee”), as supplemented by the first supplemental indenture dated as of June 30, 2022 between the Company and the Convertible Notes Trustee. As of June 30, 2023, none of the conditions allowing holders of the Convertible Notes to convert had been met. Since February 5, 2021, the Company may redeem all or part of the 2024 Convertible Notes, at its option, if the market price of the Company’s stock achieves certain levels.</w:t>
      </w:r>
    </w:p>
    <w:p>
      <w:pPr>
        <w:spacing w:after="0" w:line="195" w:lineRule="exact"/>
        <w:rPr>
          <w:sz w:val="20"/>
          <w:szCs w:val="20"/>
          <w:color w:val="auto"/>
        </w:rPr>
      </w:pPr>
    </w:p>
    <w:p>
      <w:pPr>
        <w:ind w:right="620" w:firstLine="324"/>
        <w:spacing w:after="0" w:line="286" w:lineRule="auto"/>
        <w:rPr>
          <w:sz w:val="20"/>
          <w:szCs w:val="20"/>
          <w:color w:val="auto"/>
        </w:rPr>
      </w:pPr>
      <w:r>
        <w:rPr>
          <w:rFonts w:ascii="Arial" w:cs="Arial" w:eastAsia="Arial" w:hAnsi="Arial"/>
          <w:sz w:val="17"/>
          <w:szCs w:val="17"/>
          <w:color w:val="auto"/>
        </w:rPr>
        <w:t xml:space="preserve">As described in Note 2, </w:t>
      </w: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the Company adopted ASU 2020-06 effective July 2, 2022, using a modified retrospective method, which resulted in the elimination of the originally recorded debt discount associated with the conversion feature on the 2024 Convertible Notes. As of June 30, 2023, debt discount and issuance costs of $2 million remained unamortized.</w:t>
      </w:r>
    </w:p>
    <w:p>
      <w:pPr>
        <w:spacing w:after="0" w:line="19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February 2018, the Company issued $2.30 billion aggregate principal amount of senior unsecured notes due February 15, 2026 (the “2026 Senior Unsecured Notes”). The 2026 Senior Unsecured Notes bear interest at an annual rate of 4.750% with interest payable on February 15 and August 15 of each year. The Company is not required to make principal payments on the 2026 Senior Unsecured Notes prior to the maturity date. Issuance costs for the 2026 Senior Unsecured Notes are amortized to interest expense over the term of the 2026 Senior Unsecured Notes and as of June 30, 2023, issuance costs of $7 million remained unamortized.</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indentures and supplemental indentures, as applicable, governing the Company’s 2029 Senior Notes, 2032 Senior Notes, 2026 Senior Unsecured Notes and the 2024 Convertible Notes each contain various restrictive covenants, which can include limitations on the Company’s and its subsidiaries’ ability to, among other things, consolidate, merge or sell all or substantially all of their assets; create liens; and incur, assume or guarantee additional indebtedness, and are subject to a number of limitations and exceptions.</w:t>
      </w:r>
    </w:p>
    <w:p>
      <w:pPr>
        <w:spacing w:after="0" w:line="200" w:lineRule="exact"/>
        <w:rPr>
          <w:sz w:val="20"/>
          <w:szCs w:val="20"/>
          <w:color w:val="auto"/>
        </w:rPr>
      </w:pPr>
    </w:p>
    <w:p>
      <w:pPr>
        <w:ind w:firstLine="324"/>
        <w:spacing w:after="0" w:line="270" w:lineRule="auto"/>
        <w:rPr>
          <w:sz w:val="20"/>
          <w:szCs w:val="20"/>
          <w:color w:val="auto"/>
        </w:rPr>
      </w:pPr>
      <w:r>
        <w:rPr>
          <w:rFonts w:ascii="Arial" w:cs="Arial" w:eastAsia="Arial" w:hAnsi="Arial"/>
          <w:sz w:val="16"/>
          <w:szCs w:val="16"/>
          <w:color w:val="auto"/>
        </w:rPr>
        <w:t>In connection with the amendments discussed above, the 2027 Revolving Facility, Term Loan A -2, and the Delayed Draw Term Loan (the “Credit Facilities”) have been unconditionally guaranteed by Western Digital Technologies, Inc. (the “Initial Guarantor”) and are secured on a first-priority basis (subject to permitted liens) by a lien on substantially all assets and properties of the Company and the Initial Guarantor (the “Collateral”), subject to certain exceptions. Furthermore, the obligations under the Company’s 2.850% Senior Notes due 2029 and 3.100% Senior Notes due 2032 have been secured by the Collateral on an equal and ratable basis to the obligations under the Credit Facilities for so long as and to the extent required under the terms of the Indenture, and the obligations under the Company’s 2026 Senior Unsecured Notes have been guaranteed by the Initial Guarantor pursuant to the First Supplemental Indenture dated as of June 20, 2023 (the “2026 Senior Notes First Supplemental Indenture”) for so long as and to the extent required under the terms of the indenture governing such notes and the 2026 Senior Notes First Supplemental Indenture.</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Future Debt Payments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2023, the required annual future debt payments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Future Debt Payments</w:t>
            </w:r>
          </w:p>
        </w:tc>
      </w:tr>
      <w:tr>
        <w:trPr>
          <w:trHeight w:val="26"/>
        </w:trPr>
        <w:tc>
          <w:tcPr>
            <w:tcW w:w="9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6"/>
        </w:trPr>
        <w:tc>
          <w:tcPr>
            <w:tcW w:w="9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280"/>
              <w:spacing w:after="0"/>
              <w:rPr>
                <w:sz w:val="20"/>
                <w:szCs w:val="20"/>
                <w:color w:val="auto"/>
              </w:rPr>
            </w:pPr>
            <w:r>
              <w:rPr>
                <w:rFonts w:ascii="Arial" w:cs="Arial" w:eastAsia="Arial" w:hAnsi="Arial"/>
                <w:sz w:val="14"/>
                <w:szCs w:val="14"/>
                <w:i w:val="1"/>
                <w:iCs w:val="1"/>
                <w:color w:val="auto"/>
              </w:rPr>
              <w:t>(in millions)</w:t>
            </w:r>
          </w:p>
        </w:tc>
      </w:tr>
      <w:tr>
        <w:trPr>
          <w:trHeight w:val="20"/>
        </w:trPr>
        <w:tc>
          <w:tcPr>
            <w:tcW w:w="9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9760" w:type="dxa"/>
            <w:vAlign w:val="bottom"/>
          </w:tcPr>
          <w:p>
            <w:pPr>
              <w:ind w:left="140"/>
              <w:spacing w:after="0"/>
              <w:rPr>
                <w:sz w:val="20"/>
                <w:szCs w:val="20"/>
                <w:color w:val="auto"/>
              </w:rPr>
            </w:pPr>
            <w:r>
              <w:rPr>
                <w:rFonts w:ascii="Arial" w:cs="Arial" w:eastAsia="Arial" w:hAnsi="Arial"/>
                <w:sz w:val="16"/>
                <w:szCs w:val="16"/>
                <w:color w:val="auto"/>
              </w:rPr>
              <w:t>2024</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1,213</w:t>
            </w:r>
          </w:p>
        </w:tc>
      </w:tr>
      <w:tr>
        <w:trPr>
          <w:trHeight w:val="219"/>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9760" w:type="dxa"/>
            <w:vAlign w:val="bottom"/>
          </w:tcPr>
          <w:p>
            <w:pPr>
              <w:ind w:left="14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2,450</w:t>
            </w:r>
          </w:p>
        </w:tc>
      </w:tr>
      <w:tr>
        <w:trPr>
          <w:trHeight w:val="219"/>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2027</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w:t>
            </w:r>
          </w:p>
        </w:tc>
      </w:tr>
      <w:tr>
        <w:trPr>
          <w:trHeight w:val="213"/>
        </w:trPr>
        <w:tc>
          <w:tcPr>
            <w:tcW w:w="9760" w:type="dxa"/>
            <w:vAlign w:val="bottom"/>
          </w:tcPr>
          <w:p>
            <w:pPr>
              <w:ind w:left="140"/>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2029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7"/>
        </w:trPr>
        <w:tc>
          <w:tcPr>
            <w:tcW w:w="9760" w:type="dxa"/>
            <w:vAlign w:val="bottom"/>
          </w:tcPr>
          <w:p>
            <w:pPr>
              <w:ind w:left="20"/>
              <w:spacing w:after="0"/>
              <w:rPr>
                <w:sz w:val="20"/>
                <w:szCs w:val="20"/>
                <w:color w:val="auto"/>
              </w:rPr>
            </w:pPr>
            <w:r>
              <w:rPr>
                <w:rFonts w:ascii="Arial" w:cs="Arial" w:eastAsia="Arial" w:hAnsi="Arial"/>
                <w:sz w:val="16"/>
                <w:szCs w:val="16"/>
                <w:color w:val="auto"/>
              </w:rPr>
              <w:t>Total debt maturities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7,100</w:t>
            </w:r>
          </w:p>
        </w:tc>
      </w:t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 and debt discounts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9760" w:type="dxa"/>
            <w:vAlign w:val="bottom"/>
          </w:tcPr>
          <w:p>
            <w:pPr>
              <w:ind w:left="140"/>
              <w:spacing w:after="0"/>
              <w:rPr>
                <w:sz w:val="20"/>
                <w:szCs w:val="20"/>
                <w:color w:val="auto"/>
              </w:rPr>
            </w:pPr>
            <w:r>
              <w:rPr>
                <w:rFonts w:ascii="Arial" w:cs="Arial" w:eastAsia="Arial" w:hAnsi="Arial"/>
                <w:sz w:val="16"/>
                <w:szCs w:val="16"/>
                <w:color w:val="auto"/>
              </w:rPr>
              <w:t>Net carrying value</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7,070</w:t>
            </w:r>
          </w:p>
        </w:tc>
      </w:tr>
      <w:tr>
        <w:trPr>
          <w:trHeight w:val="20"/>
        </w:trPr>
        <w:tc>
          <w:tcPr>
            <w:tcW w:w="9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Consolidated Financial Statements. The expected long-term rate of return on the Pension Plans’ assets is 2.5%.</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Pension Plans: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980" w:type="dxa"/>
            <w:vAlign w:val="bottom"/>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24"/>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2021</w:t>
            </w:r>
          </w:p>
        </w:tc>
      </w:tr>
      <w:tr>
        <w:trPr>
          <w:trHeight w:val="26"/>
        </w:trPr>
        <w:tc>
          <w:tcPr>
            <w:tcW w:w="6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6"/>
        </w:trPr>
        <w:tc>
          <w:tcPr>
            <w:tcW w:w="6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6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benefit obligation:</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Projected benefit obligation at beginning of period</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19"/>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 cost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Interest cost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Plan amendments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Actuarial loss (gain)</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Benefits paid</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Settlement/curtailment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Non-U.S. currency movement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6"/>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Projected benefit obligation at end of period</w:t>
            </w: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r>
      <w:tr>
        <w:trPr>
          <w:trHeight w:val="19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plan assets:</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Fair value of plan assets at beginning of period</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Actual return on plan assets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Employer contributions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Benefits paid</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Non-U.S. currency movement</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of plan assets at end of period</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Unfunded status</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6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unfunded amounts related to the Pension Plans as recognized on the Company’s Consolidated Balance Sheets: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60" w:type="dxa"/>
            <w:vAlign w:val="bottom"/>
          </w:tcPr>
          <w:p>
            <w:pPr>
              <w:jc w:val="right"/>
              <w:ind w:right="4"/>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43"/>
              <w:spacing w:after="0"/>
              <w:rPr>
                <w:sz w:val="20"/>
                <w:szCs w:val="20"/>
                <w:color w:val="auto"/>
              </w:rPr>
            </w:pPr>
            <w:r>
              <w:rPr>
                <w:rFonts w:ascii="Arial" w:cs="Arial" w:eastAsia="Arial" w:hAnsi="Arial"/>
                <w:sz w:val="14"/>
                <w:szCs w:val="14"/>
                <w:b w:val="1"/>
                <w:bCs w:val="1"/>
                <w:color w:val="auto"/>
              </w:rPr>
              <w:t>July 1,</w:t>
            </w:r>
          </w:p>
        </w:tc>
      </w:tr>
      <w:tr>
        <w:trPr>
          <w:trHeight w:val="196"/>
        </w:trPr>
        <w:tc>
          <w:tcPr>
            <w:tcW w:w="8260" w:type="dxa"/>
            <w:vAlign w:val="bottom"/>
          </w:tcPr>
          <w:p>
            <w:pPr>
              <w:spacing w:after="0"/>
              <w:rPr>
                <w:sz w:val="17"/>
                <w:szCs w:val="17"/>
                <w:color w:val="auto"/>
              </w:rPr>
            </w:pPr>
          </w:p>
        </w:tc>
        <w:tc>
          <w:tcPr>
            <w:tcW w:w="10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182"/>
        </w:trPr>
        <w:tc>
          <w:tcPr>
            <w:tcW w:w="8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0"/>
        </w:trPr>
        <w:tc>
          <w:tcPr>
            <w:tcW w:w="8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liabilities</w:t>
            </w: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3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amount recognized</w:t>
            </w: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accumulated benefit obligation for the Pension Plans was $273 million at June 30, 2023. As of June 30, 2023, the accumulated other income pension balance was $2 million. There were no material prior service credits for the Pension Plans recognized in Accumulated other comprehensive loss in the Consolidated Balance Sheet as of June 30, 2023.</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costs were not material for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Weighted-Average Assumptions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actuarial assumptions used to determine the projected benefit obligations for the Pension Plans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52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r>
      <w:tr>
        <w:trPr>
          <w:trHeight w:val="26"/>
        </w:trPr>
        <w:tc>
          <w:tcPr>
            <w:tcW w:w="6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10"/>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Rate of compensation increase</w:t>
            </w:r>
          </w:p>
        </w:tc>
        <w:tc>
          <w:tcPr>
            <w:tcW w:w="500" w:type="dxa"/>
            <w:vAlign w:val="bottom"/>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2.0 %</w:t>
            </w:r>
          </w:p>
        </w:tc>
      </w:tr>
    </w:tbl>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actuarial assumptions used to determine benefit costs for the Pension Plans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520" w:type="dxa"/>
            <w:vAlign w:val="bottom"/>
          </w:tcPr>
          <w:p>
            <w:pPr>
              <w:jc w:val="right"/>
              <w:ind w:right="541"/>
              <w:spacing w:after="0"/>
              <w:rPr>
                <w:sz w:val="20"/>
                <w:szCs w:val="20"/>
                <w:color w:val="auto"/>
              </w:rPr>
            </w:pPr>
            <w:r>
              <w:rPr>
                <w:rFonts w:ascii="Arial" w:cs="Arial" w:eastAsia="Arial" w:hAnsi="Arial"/>
                <w:sz w:val="14"/>
                <w:szCs w:val="14"/>
                <w:b w:val="1"/>
                <w:bCs w:val="1"/>
                <w:color w:val="auto"/>
              </w:rPr>
              <w:t>2021</w:t>
            </w:r>
          </w:p>
        </w:tc>
      </w:tr>
      <w:tr>
        <w:trPr>
          <w:trHeight w:val="26"/>
        </w:trPr>
        <w:tc>
          <w:tcPr>
            <w:tcW w:w="6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3"/>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Expected long-term rate of return on plan assets</w:t>
            </w:r>
          </w:p>
        </w:tc>
        <w:tc>
          <w:tcPr>
            <w:tcW w:w="50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9"/>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bl>
    <w:p>
      <w:pPr>
        <w:spacing w:after="0" w:line="310"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The Company develops a discount rate by calculating when the estimated benefit payments will be due. Management then matches the benefit payments to high quality bonds which match the timing of the expected benefit payments to determine the appropriate discount rate.</w:t>
      </w:r>
    </w:p>
    <w:p>
      <w:pPr>
        <w:spacing w:after="0" w:line="17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 develops the expected long-term rate of return on plan assets by analyzing rates of return in each plan as well as the investment portfolio applicable to the plan depending on each plan’s economic environment. The Company’s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 As of June 30, 2023, the Pension Plans’ assets materially consisted of plan assets related to the Japan pension plan and as such the assumption used herein is primarily related to the Japan pension plan.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develops the rate of compensation increase assumptions using local compensation practices and historical rates of increases.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 Policies and Strategies</w:t>
      </w:r>
    </w:p>
    <w:p>
      <w:pPr>
        <w:spacing w:after="0" w:line="252"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The investment policy in the Pension Plans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55% in debt securities, 30% in equity securities, and the remaining 15%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spacing w:after="0" w:line="20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Pension Plans’ major asset categories and their associated fair values and net asset values as of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jc w:val="center"/>
              <w:ind w:left="623"/>
              <w:spacing w:after="0"/>
              <w:rPr>
                <w:sz w:val="20"/>
                <w:szCs w:val="20"/>
                <w:color w:val="auto"/>
              </w:rPr>
            </w:pPr>
            <w:r>
              <w:rPr>
                <w:rFonts w:ascii="Arial" w:cs="Arial" w:eastAsia="Arial" w:hAnsi="Arial"/>
                <w:sz w:val="14"/>
                <w:szCs w:val="14"/>
                <w:b w:val="1"/>
                <w:bCs w:val="1"/>
                <w:color w:val="auto"/>
                <w:w w:val="92"/>
              </w:rPr>
              <w:t>June 30, 2023</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2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2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182"/>
        </w:trPr>
        <w:tc>
          <w:tcPr>
            <w:tcW w:w="22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center"/>
              <w:ind w:left="603"/>
              <w:spacing w:after="0"/>
              <w:rPr>
                <w:sz w:val="20"/>
                <w:szCs w:val="20"/>
                <w:color w:val="auto"/>
              </w:rPr>
            </w:pPr>
            <w:r>
              <w:rPr>
                <w:rFonts w:ascii="Arial" w:cs="Arial" w:eastAsia="Arial" w:hAnsi="Arial"/>
                <w:sz w:val="14"/>
                <w:szCs w:val="14"/>
                <w:i w:val="1"/>
                <w:iCs w:val="1"/>
                <w:color w:val="auto"/>
                <w:w w:val="98"/>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Plan assets measured at fair value:</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Equity:</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gridSpan w:val="2"/>
            <w:shd w:val="clear" w:color="auto" w:fill="CCEEFF"/>
          </w:tcPr>
          <w:p>
            <w:pPr>
              <w:ind w:left="260"/>
              <w:spacing w:after="0" w:line="219" w:lineRule="exact"/>
              <w:rPr>
                <w:sz w:val="20"/>
                <w:szCs w:val="20"/>
                <w:color w:val="auto"/>
              </w:rPr>
            </w:pPr>
            <w:r>
              <w:rPr>
                <w:rFonts w:ascii="Arial" w:cs="Arial" w:eastAsia="Arial" w:hAnsi="Arial"/>
                <w:sz w:val="16"/>
                <w:szCs w:val="16"/>
                <w:color w:val="auto"/>
              </w:rPr>
              <w:t>Equity commingled/mutual funds</w:t>
            </w:r>
            <w:r>
              <w:rPr>
                <w:rFonts w:ascii="Arial" w:cs="Arial" w:eastAsia="Arial" w:hAnsi="Arial"/>
                <w:sz w:val="21"/>
                <w:szCs w:val="21"/>
                <w:color w:val="auto"/>
                <w:vertAlign w:val="superscript"/>
              </w:rPr>
              <w:t>(1)(2)</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Fixed income: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gridSpan w:val="2"/>
            <w:shd w:val="clear" w:color="auto" w:fill="CCEEFF"/>
          </w:tcPr>
          <w:p>
            <w:pPr>
              <w:ind w:left="260"/>
              <w:spacing w:after="0" w:line="219" w:lineRule="exact"/>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1"/>
                <w:szCs w:val="21"/>
                <w:color w:val="auto"/>
                <w:vertAlign w:val="superscript"/>
              </w:rPr>
              <w:t>(1)(3)</w:t>
            </w: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07"/>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Net plan assets subject to leveling</w:t>
            </w:r>
          </w:p>
        </w:tc>
        <w:tc>
          <w:tcPr>
            <w:tcW w:w="1060" w:type="dxa"/>
            <w:vAlign w:val="bottom"/>
          </w:tcPr>
          <w:p>
            <w:pPr>
              <w:spacing w:after="0"/>
              <w:rPr>
                <w:sz w:val="17"/>
                <w:szCs w:val="17"/>
                <w:color w:val="auto"/>
              </w:rPr>
            </w:pPr>
          </w:p>
        </w:tc>
        <w:tc>
          <w:tcPr>
            <w:tcW w:w="4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Real estate investment trust at net asset value</w:t>
            </w:r>
          </w:p>
        </w:tc>
        <w:tc>
          <w:tcPr>
            <w:tcW w:w="10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 investments at fair value</w:t>
            </w: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21"/>
        </w:trPr>
        <w:tc>
          <w:tcPr>
            <w:tcW w:w="2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2"/>
        </w:trPr>
        <w:tc>
          <w:tcPr>
            <w:tcW w:w="2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center"/>
              <w:ind w:left="623"/>
              <w:spacing w:after="0"/>
              <w:rPr>
                <w:sz w:val="20"/>
                <w:szCs w:val="20"/>
                <w:color w:val="auto"/>
              </w:rPr>
            </w:pPr>
            <w:r>
              <w:rPr>
                <w:rFonts w:ascii="Arial" w:cs="Arial" w:eastAsia="Arial" w:hAnsi="Arial"/>
                <w:sz w:val="14"/>
                <w:szCs w:val="14"/>
                <w:b w:val="1"/>
                <w:bCs w:val="1"/>
                <w:color w:val="auto"/>
                <w:w w:val="91"/>
              </w:rPr>
              <w:t>July 1, 2022</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
        </w:trPr>
        <w:tc>
          <w:tcPr>
            <w:tcW w:w="2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2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182"/>
        </w:trPr>
        <w:tc>
          <w:tcPr>
            <w:tcW w:w="22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center"/>
              <w:ind w:left="603"/>
              <w:spacing w:after="0"/>
              <w:rPr>
                <w:sz w:val="20"/>
                <w:szCs w:val="20"/>
                <w:color w:val="auto"/>
              </w:rPr>
            </w:pPr>
            <w:r>
              <w:rPr>
                <w:rFonts w:ascii="Arial" w:cs="Arial" w:eastAsia="Arial" w:hAnsi="Arial"/>
                <w:sz w:val="14"/>
                <w:szCs w:val="14"/>
                <w:i w:val="1"/>
                <w:iCs w:val="1"/>
                <w:color w:val="auto"/>
                <w:w w:val="98"/>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Plan assets measured at fair value:</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Equity:</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gridSpan w:val="2"/>
            <w:shd w:val="clear" w:color="auto" w:fill="CCEEFF"/>
          </w:tcPr>
          <w:p>
            <w:pPr>
              <w:ind w:left="260"/>
              <w:spacing w:after="0" w:line="219" w:lineRule="exact"/>
              <w:rPr>
                <w:sz w:val="20"/>
                <w:szCs w:val="20"/>
                <w:color w:val="auto"/>
              </w:rPr>
            </w:pPr>
            <w:r>
              <w:rPr>
                <w:rFonts w:ascii="Arial" w:cs="Arial" w:eastAsia="Arial" w:hAnsi="Arial"/>
                <w:sz w:val="16"/>
                <w:szCs w:val="16"/>
                <w:color w:val="auto"/>
              </w:rPr>
              <w:t>Equity commingled/mutual funds</w:t>
            </w:r>
            <w:r>
              <w:rPr>
                <w:rFonts w:ascii="Arial" w:cs="Arial" w:eastAsia="Arial" w:hAnsi="Arial"/>
                <w:sz w:val="21"/>
                <w:szCs w:val="21"/>
                <w:color w:val="auto"/>
                <w:vertAlign w:val="superscript"/>
              </w:rPr>
              <w:t>(1)(2)</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Fixed income: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gridSpan w:val="2"/>
            <w:shd w:val="clear" w:color="auto" w:fill="CCEEFF"/>
          </w:tcPr>
          <w:p>
            <w:pPr>
              <w:ind w:left="260"/>
              <w:spacing w:after="0" w:line="219" w:lineRule="exact"/>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1"/>
                <w:szCs w:val="21"/>
                <w:color w:val="auto"/>
                <w:vertAlign w:val="superscript"/>
              </w:rPr>
              <w:t>(1)(3)</w:t>
            </w: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7"/>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Net plan assets subject to leveling</w:t>
            </w:r>
          </w:p>
        </w:tc>
        <w:tc>
          <w:tcPr>
            <w:tcW w:w="1060" w:type="dxa"/>
            <w:vAlign w:val="bottom"/>
          </w:tcPr>
          <w:p>
            <w:pPr>
              <w:spacing w:after="0"/>
              <w:rPr>
                <w:sz w:val="17"/>
                <w:szCs w:val="17"/>
                <w:color w:val="auto"/>
              </w:rPr>
            </w:pPr>
          </w:p>
        </w:tc>
        <w:tc>
          <w:tcPr>
            <w:tcW w:w="4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6"/>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Real estate investment trust at net asset value</w:t>
            </w:r>
          </w:p>
        </w:tc>
        <w:tc>
          <w:tcPr>
            <w:tcW w:w="10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 investments at fair value</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0"/>
        </w:trPr>
        <w:tc>
          <w:tcPr>
            <w:tcW w:w="2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bl>
    <w:p>
      <w:pPr>
        <w:spacing w:after="0" w:line="8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Commingled funds represent pooled institutional investments.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Equity mutual funds invest primarily in equity securities.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Fixed income mutual funds invest primarily in fixed income securities.</w:t>
      </w:r>
    </w:p>
    <w:p>
      <w:pPr>
        <w:spacing w:after="0" w:line="229"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8"/>
          <w:szCs w:val="18"/>
          <w:color w:val="auto"/>
        </w:rPr>
        <w:t>There were no significant movements of assets between any level categories in 2023 or 2022.</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Valuation Techniques</w:t>
      </w:r>
    </w:p>
    <w:p>
      <w:pPr>
        <w:spacing w:after="0" w:line="252"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Equity securities are valued at the closing price reported on the stock exchange on which the individual securities are traded. Equity commingled/mutual funds are typically valued using the net asset value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spacing w:after="0" w:line="18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spacing w:after="0" w:line="211" w:lineRule="exact"/>
        <w:rPr>
          <w:sz w:val="20"/>
          <w:szCs w:val="20"/>
          <w:color w:val="auto"/>
        </w:rPr>
      </w:pPr>
    </w:p>
    <w:p>
      <w:pPr>
        <w:jc w:val="both"/>
        <w:ind w:right="80" w:firstLine="324"/>
        <w:spacing w:after="0" w:line="308" w:lineRule="auto"/>
        <w:rPr>
          <w:sz w:val="20"/>
          <w:szCs w:val="20"/>
          <w:color w:val="auto"/>
        </w:rPr>
      </w:pPr>
      <w:r>
        <w:rPr>
          <w:rFonts w:ascii="Arial" w:cs="Arial" w:eastAsia="Arial" w:hAnsi="Arial"/>
          <w:sz w:val="17"/>
          <w:szCs w:val="17"/>
          <w:color w:val="auto"/>
        </w:rPr>
        <w:t>Cash equivalents includes money market accounts that are valued at their cost plus interest on a daily basis, which approximates fair value. Short-term investments represent securities with original maturities of one year or less. These assets are classified as either Level 1 or Level 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expected employer contributions for 2024 and annual benefit payments over the next five years for its Pension Plans are not expected to be material.</w:t>
      </w: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Related Parties and Related 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procures substantially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 The Company has a 49.9% ownership interest and Kioxia has a 50.1% ownership interest in each of these entities. Through Flash Ventures, the Company and Kioxia collaborate in the development and manufacture of flash-based memory wafers, which are manufactured by Kioxia at its wafer fabrication facilities located in Japan using semiconductor manufacturing equipment individually owned or leased by each Flash Ventures entity. Each Flash Ventures entity purchases wafers from Kioxia at cost and then resells those wafers to the Company and Kioxia at cost plus a markup</w:t>
      </w:r>
      <w:r>
        <w:rPr>
          <w:rFonts w:ascii="Arial" w:cs="Arial" w:eastAsia="Arial" w:hAnsi="Arial"/>
          <w:sz w:val="18"/>
          <w:szCs w:val="18"/>
          <w:i w:val="1"/>
          <w:iCs w:val="1"/>
          <w:color w:val="auto"/>
        </w:rPr>
        <w:t>.</w:t>
      </w:r>
    </w:p>
    <w:p>
      <w:pPr>
        <w:spacing w:after="0" w:line="22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Flash Partners</w:t>
      </w:r>
      <w:r>
        <w:rPr>
          <w:rFonts w:ascii="Arial" w:cs="Arial" w:eastAsia="Arial" w:hAnsi="Arial"/>
          <w:sz w:val="18"/>
          <w:szCs w:val="18"/>
          <w:color w:val="auto"/>
        </w:rPr>
        <w:t>. Flash Partners was formed in 2004 in connection with the construction of Kioxia’s “Y3” 300-millimeter wafer fabrication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Yokkaichi, Japan.</w:t>
      </w:r>
    </w:p>
    <w:p>
      <w:pPr>
        <w:spacing w:after="0" w:line="19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 xml:space="preserve">Flash Alliance. </w:t>
      </w:r>
      <w:r>
        <w:rPr>
          <w:rFonts w:ascii="Arial" w:cs="Arial" w:eastAsia="Arial" w:hAnsi="Arial"/>
          <w:sz w:val="18"/>
          <w:szCs w:val="18"/>
          <w:color w:val="auto"/>
        </w:rPr>
        <w:t>Flash Alliance was formed in 2006 in connection with the construction of Kioxia’s “Y4” 300-millimeter wafer fabrication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Yokkaichi, Japan.</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i w:val="1"/>
          <w:iCs w:val="1"/>
          <w:color w:val="auto"/>
        </w:rPr>
        <w:t>Flash Forward</w:t>
      </w:r>
      <w:r>
        <w:rPr>
          <w:rFonts w:ascii="Arial" w:cs="Arial" w:eastAsia="Arial" w:hAnsi="Arial"/>
          <w:sz w:val="18"/>
          <w:szCs w:val="18"/>
          <w:color w:val="auto"/>
        </w:rPr>
        <w:t>. Flash Forward was formed in 2010 in connection with the construction of Kioxia’s “Y5” 300-millimeter wafer fabrication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Yokkaichi, Japan. Y5 was built in two phases of approximately equal size.</w:t>
      </w:r>
    </w:p>
    <w:p>
      <w:pPr>
        <w:spacing w:after="0" w:line="197" w:lineRule="exact"/>
        <w:rPr>
          <w:sz w:val="20"/>
          <w:szCs w:val="20"/>
          <w:color w:val="auto"/>
        </w:rPr>
      </w:pPr>
    </w:p>
    <w:p>
      <w:pPr>
        <w:ind w:right="400" w:firstLine="324"/>
        <w:spacing w:after="0" w:line="291" w:lineRule="auto"/>
        <w:rPr>
          <w:sz w:val="20"/>
          <w:szCs w:val="20"/>
          <w:color w:val="auto"/>
        </w:rPr>
      </w:pPr>
      <w:r>
        <w:rPr>
          <w:rFonts w:ascii="Arial" w:cs="Arial" w:eastAsia="Arial" w:hAnsi="Arial"/>
          <w:sz w:val="16"/>
          <w:szCs w:val="16"/>
          <w:i w:val="1"/>
          <w:iCs w:val="1"/>
          <w:color w:val="auto"/>
        </w:rPr>
        <w:t>New Y2</w:t>
      </w:r>
      <w:r>
        <w:rPr>
          <w:rFonts w:ascii="Arial" w:cs="Arial" w:eastAsia="Arial" w:hAnsi="Arial"/>
          <w:sz w:val="16"/>
          <w:szCs w:val="16"/>
          <w:color w:val="auto"/>
        </w:rPr>
        <w:t>. The Company has a facility agreement with Kioxia related to the construction and operation of Kioxia’s “New Y2” 300-millimeter wafer</w:t>
      </w:r>
      <w:r>
        <w:rPr>
          <w:rFonts w:ascii="Arial" w:cs="Arial" w:eastAsia="Arial" w:hAnsi="Arial"/>
          <w:sz w:val="16"/>
          <w:szCs w:val="16"/>
          <w:i w:val="1"/>
          <w:iCs w:val="1"/>
          <w:color w:val="auto"/>
        </w:rPr>
        <w:t xml:space="preserve"> </w:t>
      </w:r>
      <w:r>
        <w:rPr>
          <w:rFonts w:ascii="Arial" w:cs="Arial" w:eastAsia="Arial" w:hAnsi="Arial"/>
          <w:sz w:val="16"/>
          <w:szCs w:val="16"/>
          <w:color w:val="auto"/>
        </w:rPr>
        <w:t>fabrication facility located in Yokkaichi, Japan. New Y2 primarily provided additional clean room space to convert a portion of 2-dimensional</w:t>
      </w:r>
    </w:p>
    <w:p>
      <w:pPr>
        <w:ind w:right="60"/>
        <w:spacing w:after="0" w:line="260" w:lineRule="auto"/>
        <w:rPr>
          <w:sz w:val="20"/>
          <w:szCs w:val="20"/>
          <w:color w:val="auto"/>
        </w:rPr>
      </w:pPr>
      <w:r>
        <w:rPr>
          <w:rFonts w:ascii="Arial" w:cs="Arial" w:eastAsia="Arial" w:hAnsi="Arial"/>
          <w:sz w:val="18"/>
          <w:szCs w:val="18"/>
          <w:color w:val="auto"/>
        </w:rPr>
        <w:t>(“2D”) flash-based wafer production capacity to 3-dimensional (“3D”) flash-based wafer production capacity. Production of flash-based wafers in New Y2 started in 2016.</w:t>
      </w:r>
    </w:p>
    <w:p>
      <w:pPr>
        <w:spacing w:after="0" w:line="21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i w:val="1"/>
          <w:iCs w:val="1"/>
          <w:color w:val="auto"/>
        </w:rPr>
        <w:t>Y6</w:t>
      </w:r>
      <w:r>
        <w:rPr>
          <w:rFonts w:ascii="Arial" w:cs="Arial" w:eastAsia="Arial" w:hAnsi="Arial"/>
          <w:sz w:val="18"/>
          <w:szCs w:val="18"/>
          <w:color w:val="auto"/>
        </w:rPr>
        <w:t>. The Company also has a facility agreement with Kioxia related to the construction and operation of Kioxia’s “Y6” 300-millimeter wafer</w:t>
      </w:r>
      <w:r>
        <w:rPr>
          <w:rFonts w:ascii="Arial" w:cs="Arial" w:eastAsia="Arial" w:hAnsi="Arial"/>
          <w:sz w:val="18"/>
          <w:szCs w:val="18"/>
          <w:i w:val="1"/>
          <w:iCs w:val="1"/>
          <w:color w:val="auto"/>
        </w:rPr>
        <w:t xml:space="preserve"> </w:t>
      </w:r>
      <w:r>
        <w:rPr>
          <w:rFonts w:ascii="Arial" w:cs="Arial" w:eastAsia="Arial" w:hAnsi="Arial"/>
          <w:sz w:val="18"/>
          <w:szCs w:val="18"/>
          <w:color w:val="auto"/>
        </w:rPr>
        <w:t>fabrication facility in Yokkaichi, Japan. Y6 is primarily intended to provide clean room space to continue the transition of existing 2D flash-based wafer capacity to 3D flash-based wafer production capacity. Production of flash-based wafers in Y6 started in 2018.</w:t>
      </w:r>
    </w:p>
    <w:p>
      <w:pPr>
        <w:spacing w:after="0" w:line="21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K1</w:t>
      </w:r>
      <w:r>
        <w:rPr>
          <w:rFonts w:ascii="Arial" w:cs="Arial" w:eastAsia="Arial" w:hAnsi="Arial"/>
          <w:sz w:val="18"/>
          <w:szCs w:val="18"/>
          <w:color w:val="auto"/>
        </w:rPr>
        <w:t>. The Company also has a facility agreement with Kioxia related to the construction and operation of Kioxia’s “K1” 300-millimeter wafer</w:t>
      </w:r>
      <w:r>
        <w:rPr>
          <w:rFonts w:ascii="Arial" w:cs="Arial" w:eastAsia="Arial" w:hAnsi="Arial"/>
          <w:sz w:val="18"/>
          <w:szCs w:val="18"/>
          <w:i w:val="1"/>
          <w:iCs w:val="1"/>
          <w:color w:val="auto"/>
        </w:rPr>
        <w:t xml:space="preserve"> </w:t>
      </w:r>
      <w:r>
        <w:rPr>
          <w:rFonts w:ascii="Arial" w:cs="Arial" w:eastAsia="Arial" w:hAnsi="Arial"/>
          <w:sz w:val="18"/>
          <w:szCs w:val="18"/>
          <w:color w:val="auto"/>
        </w:rPr>
        <w:t>fabrication facility in Kitakami, Japan. The primary purpose of K1 is to provide clean room space to continue the transition of existing flash-based wafer capacity to newer technology nodes. K1 is now fully operational. In connection with the start-up of this facility, the Company has made prepayments toward future K1 building depreciation. As of June 30, 2023, approximately $220 million of such prepayments were available to be credited against future wafer charges.</w:t>
      </w:r>
    </w:p>
    <w:p>
      <w:pPr>
        <w:spacing w:after="0" w:line="21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 xml:space="preserve">Y7. </w:t>
      </w:r>
      <w:r>
        <w:rPr>
          <w:rFonts w:ascii="Arial" w:cs="Arial" w:eastAsia="Arial" w:hAnsi="Arial"/>
          <w:sz w:val="18"/>
          <w:szCs w:val="18"/>
          <w:color w:val="auto"/>
        </w:rPr>
        <w:t>In January 2022, the Company entered into additional agreements regarding Flash Ventures’ investment in a new wafer fabrication facility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Yokkaichi, Japan, referred to as “Y7”. The primary purpose of Y7 is to provide clean room space to continue the transition of existing flash-based wafer capacity to newer flash technology nodes. The first phase of construction of Y7 is now complete and has commenced output. The Company is committed to pay, among other things, the remainder of prepayments toward future Y7 building depreciation aggregating approximately $21 million in 2024. The prepayments can be used as credit against future wafer charges. As of June 30, 2023, approximately $355 million of prepayments were available to be credited against future wafer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Company accounts for its ownership position of each entity within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 as of June 30, 2023 and July 1,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1,</w:t>
            </w:r>
          </w:p>
        </w:tc>
      </w:tr>
      <w:tr>
        <w:trPr>
          <w:trHeight w:val="192"/>
        </w:trPr>
        <w:tc>
          <w:tcPr>
            <w:tcW w:w="8260" w:type="dxa"/>
            <w:vAlign w:val="bottom"/>
          </w:tcPr>
          <w:p>
            <w:pPr>
              <w:spacing w:after="0"/>
              <w:rPr>
                <w:sz w:val="16"/>
                <w:szCs w:val="16"/>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182"/>
        </w:trPr>
        <w:tc>
          <w:tcPr>
            <w:tcW w:w="8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0"/>
        </w:trPr>
        <w:tc>
          <w:tcPr>
            <w:tcW w:w="8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Flash Partners</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Notes receivable, Flash Alliance</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Flash Forward</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Investment in Flash Partners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Flash Alliance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Flash Forward</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3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notes receivable and investments in Flash Ventures</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1,297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During 2023, 2022 and 2021, the Company made net payments to Flash Ventures of $4.20 billion, $4.70 billion and $4.36 billion, respectively, for purchased flash-based memory wafers and net loans.</w:t>
      </w:r>
    </w:p>
    <w:p>
      <w:pPr>
        <w:spacing w:after="0" w:line="19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84"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As of June 30, 2023 and July 1, 2022, the Company had Accounts payable balances due to Flash Ventures of $292 million and $320 million, respectively.</w:t>
      </w:r>
    </w:p>
    <w:p>
      <w:pPr>
        <w:spacing w:after="0" w:line="197" w:lineRule="exact"/>
        <w:rPr>
          <w:sz w:val="20"/>
          <w:szCs w:val="20"/>
          <w:color w:val="auto"/>
        </w:rPr>
      </w:pPr>
    </w:p>
    <w:p>
      <w:pPr>
        <w:ind w:right="40" w:firstLine="324"/>
        <w:spacing w:after="0" w:line="295"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June 30, 2023,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6"/>
        </w:trPr>
        <w:tc>
          <w:tcPr>
            <w:tcW w:w="9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2"/>
              <w:spacing w:after="0" w:line="146" w:lineRule="exact"/>
              <w:rPr>
                <w:sz w:val="20"/>
                <w:szCs w:val="20"/>
                <w:color w:val="auto"/>
              </w:rPr>
            </w:pPr>
            <w:r>
              <w:rPr>
                <w:rFonts w:ascii="Arial" w:cs="Arial" w:eastAsia="Arial" w:hAnsi="Arial"/>
                <w:sz w:val="14"/>
                <w:szCs w:val="14"/>
                <w:b w:val="1"/>
                <w:bCs w:val="1"/>
                <w:color w:val="auto"/>
                <w:w w:val="92"/>
              </w:rPr>
              <w:t>June 30,</w:t>
            </w:r>
          </w:p>
        </w:tc>
      </w:tr>
      <w:tr>
        <w:trPr>
          <w:trHeight w:val="196"/>
        </w:trPr>
        <w:tc>
          <w:tcPr>
            <w:tcW w:w="9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2023</w:t>
            </w:r>
          </w:p>
        </w:tc>
      </w:tr>
      <w:tr>
        <w:trPr>
          <w:trHeight w:val="182"/>
        </w:trPr>
        <w:tc>
          <w:tcPr>
            <w:tcW w:w="9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i w:val="1"/>
                <w:iCs w:val="1"/>
                <w:color w:val="auto"/>
                <w:w w:val="98"/>
              </w:rPr>
              <w:t>(in millions)</w:t>
            </w:r>
          </w:p>
        </w:tc>
      </w:tr>
      <w:tr>
        <w:trPr>
          <w:trHeight w:val="20"/>
        </w:trPr>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Equity investments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guarantees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Inventory and prepayments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r>
      <w:tr>
        <w:trPr>
          <w:trHeight w:val="238"/>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Maximum estimable loss exposure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June 30, 2023 and July 1, 2022, the Company’s retained earnings included cumulative undistributed earnings of Flash Ventures of $55 million and $43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Flash Ventures entity’s operating cash flow is insufficient to fund these investments.</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Flash Ventures has historically operated near 100% of its manufacturing capacity. During 2023, as a result of flash business conditions, the Company temporarily reduced its utilization of its share of Flash Ventures’ manufacturing capacity to an abnormally low level to more closely align the Company’s flash-based wafer supply with projected demand. In 2023, the Company incurred costs of $286 million associated with the reduction in utilization related to Flash Ventures, which was recorded as a charge to Cost of revenue.</w:t>
      </w:r>
    </w:p>
    <w:p>
      <w:pPr>
        <w:spacing w:after="0" w:line="200"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In February 2022, contamination of certain material used in manufacturing processes occurred at both the Yokkaichi and Kitakami, Japan fabrication facilities, resulting in damage to inventory units in production, a temporary disruption to production operations and a reduction in the Company’s flash wafer availability. During 2022, the Company incurred charges of $207 million related to this contamination incident that were recorded in Cost of revenue, which primarily consisted of scrapped inventory and rework costs, decontamination and other costs needed to restore the facilities to normal capacity, and under absorption of overhead costs.</w:t>
      </w:r>
    </w:p>
    <w:p>
      <w:pPr>
        <w:spacing w:after="0" w:line="23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1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Research and Development Activities. </w:t>
      </w:r>
      <w:r>
        <w:rPr>
          <w:rFonts w:ascii="Arial" w:cs="Arial" w:eastAsia="Arial" w:hAnsi="Arial"/>
          <w:sz w:val="18"/>
          <w:szCs w:val="18"/>
          <w:color w:val="auto"/>
        </w:rPr>
        <w:t>The Company participates in common R&amp;D activities with Kioxia and is contractually committed to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level. R&amp;D commitments are immaterial to the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14" w:lineRule="exact"/>
        <w:rPr>
          <w:sz w:val="20"/>
          <w:szCs w:val="20"/>
          <w:color w:val="auto"/>
        </w:rPr>
      </w:pPr>
    </w:p>
    <w:p>
      <w:pPr>
        <w:ind w:right="140" w:firstLine="324"/>
        <w:spacing w:after="0" w:line="269"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June 30, 2023.</w:t>
      </w: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3"/>
          </w:tcPr>
          <w:p>
            <w:pPr>
              <w:jc w:val="right"/>
              <w:ind w:right="945"/>
              <w:spacing w:after="0"/>
              <w:rPr>
                <w:sz w:val="20"/>
                <w:szCs w:val="20"/>
                <w:color w:val="auto"/>
              </w:rPr>
            </w:pPr>
            <w:r>
              <w:rPr>
                <w:rFonts w:ascii="Arial" w:cs="Arial" w:eastAsia="Arial" w:hAnsi="Arial"/>
                <w:sz w:val="14"/>
                <w:szCs w:val="14"/>
                <w:b w:val="1"/>
                <w:bCs w:val="1"/>
                <w:color w:val="auto"/>
              </w:rPr>
              <w:t>Lease Amounts</w:t>
            </w:r>
          </w:p>
        </w:tc>
      </w:tr>
      <w:tr>
        <w:trPr>
          <w:trHeight w:val="25"/>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8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126"/>
              <w:spacing w:after="0" w:line="129" w:lineRule="exact"/>
              <w:rPr>
                <w:sz w:val="20"/>
                <w:szCs w:val="20"/>
                <w:color w:val="auto"/>
              </w:rPr>
            </w:pPr>
            <w:r>
              <w:rPr>
                <w:rFonts w:ascii="Arial" w:cs="Arial" w:eastAsia="Arial" w:hAnsi="Arial"/>
                <w:sz w:val="14"/>
                <w:szCs w:val="14"/>
                <w:i w:val="1"/>
                <w:iCs w:val="1"/>
                <w:color w:val="auto"/>
                <w:w w:val="90"/>
              </w:rPr>
              <w:t>(Japanese yen, in</w:t>
            </w:r>
          </w:p>
        </w:tc>
        <w:tc>
          <w:tcPr>
            <w:tcW w:w="260" w:type="dxa"/>
            <w:vAlign w:val="bottom"/>
          </w:tcPr>
          <w:p>
            <w:pPr>
              <w:spacing w:after="0"/>
              <w:rPr>
                <w:sz w:val="11"/>
                <w:szCs w:val="11"/>
                <w:color w:val="auto"/>
              </w:rPr>
            </w:pPr>
          </w:p>
        </w:tc>
        <w:tc>
          <w:tcPr>
            <w:tcW w:w="1240" w:type="dxa"/>
            <w:vAlign w:val="bottom"/>
          </w:tcPr>
          <w:p>
            <w:pPr>
              <w:jc w:val="center"/>
              <w:ind w:right="105"/>
              <w:spacing w:after="0" w:line="129" w:lineRule="exact"/>
              <w:rPr>
                <w:sz w:val="20"/>
                <w:szCs w:val="20"/>
                <w:color w:val="auto"/>
              </w:rPr>
            </w:pPr>
            <w:r>
              <w:rPr>
                <w:rFonts w:ascii="Arial" w:cs="Arial" w:eastAsia="Arial" w:hAnsi="Arial"/>
                <w:sz w:val="14"/>
                <w:szCs w:val="14"/>
                <w:i w:val="1"/>
                <w:iCs w:val="1"/>
                <w:color w:val="auto"/>
                <w:w w:val="96"/>
              </w:rPr>
              <w:t>(U.S. dollar, in</w:t>
            </w:r>
          </w:p>
        </w:tc>
      </w:tr>
      <w:tr>
        <w:trPr>
          <w:trHeight w:val="182"/>
        </w:trPr>
        <w:tc>
          <w:tcPr>
            <w:tcW w:w="8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26"/>
              <w:spacing w:after="0"/>
              <w:rPr>
                <w:sz w:val="20"/>
                <w:szCs w:val="20"/>
                <w:color w:val="auto"/>
              </w:rPr>
            </w:pPr>
            <w:r>
              <w:rPr>
                <w:rFonts w:ascii="Arial" w:cs="Arial" w:eastAsia="Arial" w:hAnsi="Arial"/>
                <w:sz w:val="14"/>
                <w:szCs w:val="14"/>
                <w:i w:val="1"/>
                <w:iCs w:val="1"/>
                <w:color w:val="auto"/>
              </w:rPr>
              <w:t>billions)</w:t>
            </w:r>
          </w:p>
        </w:tc>
        <w:tc>
          <w:tcPr>
            <w:tcW w:w="260" w:type="dxa"/>
            <w:vAlign w:val="bottom"/>
          </w:tcPr>
          <w:p>
            <w:pPr>
              <w:spacing w:after="0"/>
              <w:rPr>
                <w:sz w:val="15"/>
                <w:szCs w:val="15"/>
                <w:color w:val="auto"/>
              </w:rPr>
            </w:pPr>
          </w:p>
        </w:tc>
        <w:tc>
          <w:tcPr>
            <w:tcW w:w="1240" w:type="dxa"/>
            <w:vAlign w:val="bottom"/>
          </w:tcPr>
          <w:p>
            <w:pPr>
              <w:jc w:val="center"/>
              <w:ind w:right="125"/>
              <w:spacing w:after="0"/>
              <w:rPr>
                <w:sz w:val="20"/>
                <w:szCs w:val="20"/>
                <w:color w:val="auto"/>
              </w:rPr>
            </w:pPr>
            <w:r>
              <w:rPr>
                <w:rFonts w:ascii="Arial" w:cs="Arial" w:eastAsia="Arial" w:hAnsi="Arial"/>
                <w:sz w:val="14"/>
                <w:szCs w:val="14"/>
                <w:i w:val="1"/>
                <w:iCs w:val="1"/>
                <w:color w:val="auto"/>
              </w:rPr>
              <w:t>millions)</w:t>
            </w:r>
          </w:p>
        </w:tc>
      </w:tr>
      <w:tr>
        <w:trPr>
          <w:trHeight w:val="20"/>
        </w:trPr>
        <w:tc>
          <w:tcPr>
            <w:tcW w:w="8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guarantee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245</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June 30, 2023 in U.S. dollars, based upon the Japanese yen to U.S. dollar exchange rate as of June 30, 2023:</w:t>
      </w:r>
    </w:p>
    <w:tbl>
      <w:tblPr>
        <w:tblLayout w:type="fixed"/>
        <w:tblInd w:w="0" w:type="dxa"/>
        <w:tblCellMar>
          <w:top w:w="0" w:type="dxa"/>
          <w:left w:w="0" w:type="dxa"/>
          <w:bottom w:w="0" w:type="dxa"/>
          <w:right w:w="0" w:type="dxa"/>
        </w:tblCellMar>
      </w:tblPr>
      <w:tr>
        <w:trPr>
          <w:trHeight w:val="151"/>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Payment of Principal</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92"/>
              </w:rPr>
              <w:t>Purchase Option</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Annual Installments</w:t>
            </w:r>
          </w:p>
        </w:tc>
        <w:tc>
          <w:tcPr>
            <w:tcW w:w="1520" w:type="dxa"/>
            <w:vAlign w:val="bottom"/>
            <w:gridSpan w:val="3"/>
            <w:vMerge w:val="continue"/>
          </w:tcPr>
          <w:p>
            <w:pPr>
              <w:spacing w:after="0"/>
              <w:rPr>
                <w:sz w:val="12"/>
                <w:szCs w:val="12"/>
                <w:color w:val="auto"/>
              </w:rPr>
            </w:pPr>
          </w:p>
        </w:tc>
        <w:tc>
          <w:tcPr>
            <w:tcW w:w="154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Exercise Price at Final</w:t>
            </w:r>
          </w:p>
        </w:tc>
        <w:tc>
          <w:tcPr>
            <w:tcW w:w="120" w:type="dxa"/>
            <w:vAlign w:val="bottom"/>
          </w:tcPr>
          <w:p>
            <w:pPr>
              <w:spacing w:after="0"/>
              <w:rPr>
                <w:sz w:val="12"/>
                <w:szCs w:val="12"/>
                <w:color w:val="auto"/>
              </w:rPr>
            </w:pPr>
          </w:p>
        </w:tc>
        <w:tc>
          <w:tcPr>
            <w:tcW w:w="13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3"/>
              </w:rPr>
              <w:t>Guarantee Amount</w:t>
            </w:r>
          </w:p>
        </w:tc>
        <w:tc>
          <w:tcPr>
            <w:tcW w:w="0" w:type="dxa"/>
            <w:vAlign w:val="bottom"/>
          </w:tcPr>
          <w:p>
            <w:pPr>
              <w:spacing w:after="0"/>
              <w:rPr>
                <w:sz w:val="1"/>
                <w:szCs w:val="1"/>
                <w:color w:val="auto"/>
              </w:rPr>
            </w:pPr>
          </w:p>
        </w:tc>
      </w:tr>
      <w:tr>
        <w:trPr>
          <w:trHeight w:val="196"/>
        </w:trPr>
        <w:tc>
          <w:tcPr>
            <w:tcW w:w="6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Lease Terms</w:t>
            </w: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2027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2"/>
        </w:trPr>
        <w:tc>
          <w:tcPr>
            <w:tcW w:w="6740" w:type="dxa"/>
            <w:vAlign w:val="bottom"/>
            <w:gridSpan w:val="2"/>
          </w:tcPr>
          <w:p>
            <w:pPr>
              <w:ind w:left="140"/>
              <w:spacing w:after="0"/>
              <w:rPr>
                <w:sz w:val="20"/>
                <w:szCs w:val="20"/>
                <w:color w:val="auto"/>
              </w:rPr>
            </w:pPr>
            <w:r>
              <w:rPr>
                <w:rFonts w:ascii="Arial" w:cs="Arial" w:eastAsia="Arial" w:hAnsi="Arial"/>
                <w:sz w:val="16"/>
                <w:szCs w:val="16"/>
                <w:color w:val="auto"/>
              </w:rPr>
              <w:t>Total guarantee obligations</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June 30, 2023, no amounts have been accrued in the Consolidated Financial Statements with respect to these indemnification agreements.</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Unis Venture</w:t>
      </w:r>
    </w:p>
    <w:p>
      <w:pPr>
        <w:spacing w:after="0" w:line="25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years ended June 30, 2023, July 1, 2022 and July 2, 2021, the Company recognized approximately 3%, 4%, and 3% of its consolidated revenue on products distributed by the Unis Venture, respectively. The outstanding accounts receivable due from the Unis Venture were 8% and 5% of Accounts receivable, net as of June 30, 2023 and July 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Leases and Other Commitments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The following table summarizes supplemental balance sheet information related to operating leases as of June 30, 2023:</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supplemental balance sheet information related to operating leases as of June 30,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40"/>
              <w:spacing w:after="0"/>
              <w:rPr>
                <w:sz w:val="20"/>
                <w:szCs w:val="20"/>
                <w:color w:val="auto"/>
              </w:rPr>
            </w:pPr>
            <w:r>
              <w:rPr>
                <w:rFonts w:ascii="Arial" w:cs="Arial" w:eastAsia="Arial" w:hAnsi="Arial"/>
                <w:sz w:val="14"/>
                <w:szCs w:val="14"/>
                <w:b w:val="1"/>
                <w:bCs w:val="1"/>
                <w:color w:val="auto"/>
                <w:w w:val="97"/>
              </w:rPr>
              <w:t>Lease Amounts</w:t>
            </w:r>
          </w:p>
        </w:tc>
        <w:tc>
          <w:tcPr>
            <w:tcW w:w="0" w:type="dxa"/>
            <w:vAlign w:val="bottom"/>
          </w:tcPr>
          <w:p>
            <w:pPr>
              <w:spacing w:after="0"/>
              <w:rPr>
                <w:sz w:val="1"/>
                <w:szCs w:val="1"/>
                <w:color w:val="auto"/>
              </w:rPr>
            </w:pPr>
          </w:p>
        </w:tc>
      </w:tr>
      <w:tr>
        <w:trPr>
          <w:trHeight w:val="26"/>
        </w:trPr>
        <w:tc>
          <w:tcPr>
            <w:tcW w:w="9640" w:type="dxa"/>
            <w:vAlign w:val="bottom"/>
            <w:vMerge w:val="restart"/>
          </w:tcPr>
          <w:p>
            <w:pPr>
              <w:ind w:left="20"/>
              <w:spacing w:after="0"/>
              <w:rPr>
                <w:sz w:val="20"/>
                <w:szCs w:val="20"/>
                <w:color w:val="auto"/>
              </w:rPr>
            </w:pPr>
            <w:r>
              <w:rPr>
                <w:rFonts w:ascii="Arial" w:cs="Arial" w:eastAsia="Arial" w:hAnsi="Arial"/>
                <w:sz w:val="16"/>
                <w:szCs w:val="16"/>
                <w:color w:val="auto"/>
              </w:rPr>
              <w:t>Minimum lease payments by year:</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9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360"/>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9640" w:type="dxa"/>
            <w:vAlign w:val="bottom"/>
          </w:tcPr>
          <w:p>
            <w:pPr>
              <w:ind w:left="14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9640" w:type="dxa"/>
            <w:vAlign w:val="bottom"/>
          </w:tcPr>
          <w:p>
            <w:pPr>
              <w:ind w:left="14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2028</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9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2"/>
        </w:trPr>
        <w:tc>
          <w:tcPr>
            <w:tcW w:w="9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future minimum lease payments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3"/>
        </w:trPr>
        <w:tc>
          <w:tcPr>
            <w:tcW w:w="9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Imputed Interest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9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Present value of lease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3"/>
        </w:trPr>
        <w:tc>
          <w:tcPr>
            <w:tcW w:w="9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Current portion (included in Accrued expenses)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8"/>
        </w:trPr>
        <w:tc>
          <w:tcPr>
            <w:tcW w:w="9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 (included in Other liabilities )</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57"/>
        </w:trPr>
        <w:tc>
          <w:tcPr>
            <w:tcW w:w="9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0"/>
        </w:trPr>
        <w:tc>
          <w:tcPr>
            <w:tcW w:w="964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supplemental disclosures of operating cost and cash flow information related to operating leases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4"/>
              <w:spacing w:after="0"/>
              <w:rPr>
                <w:sz w:val="20"/>
                <w:szCs w:val="20"/>
                <w:color w:val="auto"/>
              </w:rPr>
            </w:pPr>
            <w:r>
              <w:rPr>
                <w:rFonts w:ascii="Arial" w:cs="Arial" w:eastAsia="Arial" w:hAnsi="Arial"/>
                <w:sz w:val="14"/>
                <w:szCs w:val="14"/>
                <w:b w:val="1"/>
                <w:bCs w:val="1"/>
                <w:color w:val="auto"/>
                <w:w w:val="92"/>
              </w:rPr>
              <w:t>June 30,</w:t>
            </w:r>
          </w:p>
        </w:tc>
      </w:tr>
      <w:tr>
        <w:trPr>
          <w:trHeight w:val="196"/>
        </w:trPr>
        <w:tc>
          <w:tcPr>
            <w:tcW w:w="9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9"/>
              </w:rPr>
              <w:t>2023</w:t>
            </w:r>
          </w:p>
        </w:tc>
      </w:tr>
      <w:tr>
        <w:trPr>
          <w:trHeight w:val="182"/>
        </w:trPr>
        <w:tc>
          <w:tcPr>
            <w:tcW w:w="9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44"/>
              <w:spacing w:after="0"/>
              <w:rPr>
                <w:sz w:val="20"/>
                <w:szCs w:val="20"/>
                <w:color w:val="auto"/>
              </w:rPr>
            </w:pPr>
            <w:r>
              <w:rPr>
                <w:rFonts w:ascii="Arial" w:cs="Arial" w:eastAsia="Arial" w:hAnsi="Arial"/>
                <w:sz w:val="14"/>
                <w:szCs w:val="14"/>
                <w:i w:val="1"/>
                <w:iCs w:val="1"/>
                <w:color w:val="auto"/>
                <w:w w:val="98"/>
              </w:rPr>
              <w:t>(in millions)</w:t>
            </w:r>
          </w:p>
        </w:tc>
      </w:tr>
      <w:tr>
        <w:trPr>
          <w:trHeight w:val="20"/>
        </w:trPr>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operating leases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Cash paid for operating leases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operating leases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240" w:type="dxa"/>
            <w:vAlign w:val="bottom"/>
          </w:tcPr>
          <w:p>
            <w:pPr>
              <w:jc w:val="right"/>
              <w:ind w:right="545"/>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100" w:type="dxa"/>
            <w:vAlign w:val="bottom"/>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25"/>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6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185"/>
              <w:spacing w:after="0"/>
              <w:rPr>
                <w:sz w:val="20"/>
                <w:szCs w:val="20"/>
                <w:color w:val="auto"/>
              </w:rPr>
            </w:pPr>
            <w:r>
              <w:rPr>
                <w:rFonts w:ascii="Arial" w:cs="Arial" w:eastAsia="Arial" w:hAnsi="Arial"/>
                <w:sz w:val="14"/>
                <w:szCs w:val="14"/>
                <w:i w:val="1"/>
                <w:iCs w:val="1"/>
                <w:color w:val="auto"/>
                <w:w w:val="98"/>
              </w:rPr>
              <w:t>(in millions)</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operating leases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57</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58</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June 30, 2023, the Company had the following minimum long-term commitments:</w:t>
      </w:r>
    </w:p>
    <w:tbl>
      <w:tblPr>
        <w:tblLayout w:type="fixed"/>
        <w:tblInd w:w="0" w:type="dxa"/>
        <w:tblCellMar>
          <w:top w:w="0" w:type="dxa"/>
          <w:left w:w="0" w:type="dxa"/>
          <w:bottom w:w="0" w:type="dxa"/>
          <w:right w:w="0" w:type="dxa"/>
        </w:tblCellMar>
      </w:tblPr>
      <w:tr>
        <w:trPr>
          <w:trHeight w:val="149"/>
        </w:trPr>
        <w:tc>
          <w:tcPr>
            <w:tcW w:w="9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5"/>
              </w:rPr>
              <w:t>Long-term</w:t>
            </w:r>
          </w:p>
        </w:tc>
      </w:tr>
      <w:tr>
        <w:trPr>
          <w:trHeight w:val="192"/>
        </w:trPr>
        <w:tc>
          <w:tcPr>
            <w:tcW w:w="9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commitments</w:t>
            </w:r>
          </w:p>
        </w:tc>
      </w:tr>
      <w:tr>
        <w:trPr>
          <w:trHeight w:val="182"/>
        </w:trPr>
        <w:tc>
          <w:tcPr>
            <w:tcW w:w="9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Arial" w:cs="Arial" w:eastAsia="Arial" w:hAnsi="Arial"/>
                <w:sz w:val="14"/>
                <w:szCs w:val="14"/>
                <w:i w:val="1"/>
                <w:iCs w:val="1"/>
                <w:color w:val="auto"/>
                <w:w w:val="98"/>
              </w:rPr>
              <w:t>(in millions)</w:t>
            </w:r>
          </w:p>
        </w:tc>
      </w:tr>
      <w:tr>
        <w:trPr>
          <w:trHeight w:val="20"/>
        </w:trPr>
        <w:tc>
          <w:tcPr>
            <w:tcW w:w="9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9760" w:type="dxa"/>
            <w:vAlign w:val="bottom"/>
          </w:tcPr>
          <w:p>
            <w:pPr>
              <w:ind w:left="140"/>
              <w:spacing w:after="0"/>
              <w:rPr>
                <w:sz w:val="20"/>
                <w:szCs w:val="20"/>
                <w:color w:val="auto"/>
              </w:rPr>
            </w:pPr>
            <w:r>
              <w:rPr>
                <w:rFonts w:ascii="Arial" w:cs="Arial" w:eastAsia="Arial" w:hAnsi="Arial"/>
                <w:sz w:val="16"/>
                <w:szCs w:val="16"/>
                <w:color w:val="auto"/>
              </w:rPr>
              <w:t>2024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19"/>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3"/>
        </w:trPr>
        <w:tc>
          <w:tcPr>
            <w:tcW w:w="9760" w:type="dxa"/>
            <w:vAlign w:val="bottom"/>
          </w:tcPr>
          <w:p>
            <w:pPr>
              <w:ind w:left="14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9"/>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9760" w:type="dxa"/>
            <w:vAlign w:val="bottom"/>
          </w:tcPr>
          <w:p>
            <w:pPr>
              <w:ind w:left="140"/>
              <w:spacing w:after="0"/>
              <w:rPr>
                <w:sz w:val="20"/>
                <w:szCs w:val="20"/>
                <w:color w:val="auto"/>
              </w:rPr>
            </w:pPr>
            <w:r>
              <w:rPr>
                <w:rFonts w:ascii="Arial" w:cs="Arial" w:eastAsia="Arial" w:hAnsi="Arial"/>
                <w:sz w:val="16"/>
                <w:szCs w:val="16"/>
                <w:color w:val="auto"/>
              </w:rPr>
              <w:t>2028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9760" w:type="dxa"/>
            <w:vAlign w:val="bottom"/>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r>
      <w:tr>
        <w:trPr>
          <w:trHeight w:val="20"/>
        </w:trPr>
        <w:tc>
          <w:tcPr>
            <w:tcW w:w="9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Western Digital Corporation 401(k) Plan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maintains the Western Digital Corporation 401(k) Plan (the “Plan”). The Plan covers substantially all domestic employees, subject to certain eligibility requirements. Eligible employees receive employer matching contributions immediately upon hire unless the individual is covered by a collective bargaining agreement, provides services as a consultant, intern, independent contractor, leased or temporary employee, or otherwise is not treated as a common-law employee.</w:t>
      </w:r>
    </w:p>
    <w:p>
      <w:pPr>
        <w:spacing w:after="0" w:line="21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Through December 31, 2021, eligible employees were generally able to contribute up to 75% of their eligible compensation on a combined pre-tax and Roth basis, 10% on a combined pre-tax catch-up and Roth catch-up basis, and 10% on a non-Roth after-tax basis subject to Internal Revenue Service (“IRS”) limitations. Effective January 1, 2022, eligible employees are generally able to contribute up to 85% of their eligible compensation on a combined pre-tax and Roth basis regardless of age, and 10% of their eligible compensation on an after-tax basis by payroll withholding. The Company may make a basic matching contribution equal to 50% of each eligible participant’s contribution that does not exceed 6% of the eligible participant’s annual compensation in the year of contribution. Furthermore, the Company’s employer matching contributions vest immediately. Contributions, including the Company’s matching contribution to the Plan, are recorded as soon as administratively possible after the Company makes payroll deductions from Plan participants.</w:t>
      </w:r>
    </w:p>
    <w:p>
      <w:pPr>
        <w:spacing w:after="0" w:line="21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Effective February 18, 2023, the Company announced its decision to suspend matching contributions. The Company may resume matching contributions at any time at its discretion.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2023, 2022 and 2021, the Company made Plan contributions of $22 million, $36 million and $34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 and Convertible Preferred Stock</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2021 Long-Term Incentive Plan</w:t>
      </w:r>
    </w:p>
    <w:p>
      <w:pPr>
        <w:spacing w:after="0" w:line="239" w:lineRule="exact"/>
        <w:rPr>
          <w:sz w:val="20"/>
          <w:szCs w:val="20"/>
          <w:color w:val="auto"/>
        </w:rPr>
      </w:pPr>
    </w:p>
    <w:p>
      <w:pPr>
        <w:ind w:right="60" w:firstLine="324"/>
        <w:spacing w:after="0" w:line="272" w:lineRule="auto"/>
        <w:rPr>
          <w:sz w:val="20"/>
          <w:szCs w:val="20"/>
          <w:color w:val="auto"/>
        </w:rPr>
      </w:pPr>
      <w:r>
        <w:rPr>
          <w:rFonts w:ascii="Arial" w:cs="Arial" w:eastAsia="Arial" w:hAnsi="Arial"/>
          <w:sz w:val="16"/>
          <w:szCs w:val="16"/>
          <w:color w:val="auto"/>
        </w:rPr>
        <w:t>In November 2021, stockholders approved the Western Digital Corporation 2021 Long-Term Incentive Plan (the “2021 Plan”). Upon the effective date of the 2021 Plan, no new awards were granted under the Western Digital Corporation Amended and Restated 2017 Performance Incentive Plan (the “2017 Plan”). The 2021 Plan was amended in 2023 to increase the number of shares available for issuance under the plan by 2.8 million shares of common stock. The aggregate maximum number of shares of the Company’s common stock that may be issued pursuant to awards from the 2021 Plan may not exceed (a) 12.0 million shares of common stock plus (b) any shares of common stock subject to outstanding awards under a prior plan as of the effective date that on or after the effective date are forfeited, terminated, expire, lapse without being exercised (to the extent applicable), or are otherwise reacquired by the</w:t>
      </w:r>
    </w:p>
    <w:p>
      <w:pPr>
        <w:spacing w:after="0" w:line="4"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Company. Any shares subject to awards under the 2017 Plan that are cancelled, forfeited, or otherwise terminate without having vested or been exercised, as applicable, will become available for award grants under the 2021 Plan. The types of awards that may be granted under the 2021 Plan include stock options, stock appreciation rights (“SARs”), RSUs, PSUs, restricted stock and other forms of awards granted or denominated in the Company’s common stock or units of the Company’s common stock, as well as cash awards. Persons eligible to receive awards under the 2021 Plan include officers and employees of the Company or any of its subsidiaries, directors of the Company and certain consultants and advisors to the Company or any of its subsidiaries. The vesting of awards under the 2021 Plan and the 2017 Plan is determined at the date of grant. Each award expires on a date determined at the date of grant; however, the maximum term of options and SARs is ten years after the grant date of the award. RSUs typically vest over periods ranging from two to four years from the date of grant. PSUs are granted to certain employees and vest only after the achievement of pre-determined performance conditions or market conditions and completion of requisite service periods. Once the performance conditions or market conditions are met, vesting of PSUs is generally subject to continued service by the employee. As of June 30, 2023, there were outstanding awards that may vest under the 2017 Plan as well as outstanding awards of stock options under the SanDisk Corporation 2013 Incentive Plan, a plan assumed in connection with the acquisition of SanDisk Corporation, which may affect dilution.</w:t>
      </w:r>
    </w:p>
    <w:p>
      <w:pPr>
        <w:spacing w:after="0" w:line="220"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Outstanding RSU and PSU awards have dividend equivalent rights which entitle holders of such outstanding awards to the same dividend value per share as holders of common stock. Dividend equivalent rights are subject to the same vesting and other terms and conditions as the corresponding unvested RSUs and PSUs. Dividend equivalent rights are accumulated and paid in additional shares when the underlying shares vest.</w:t>
      </w:r>
    </w:p>
    <w:p>
      <w:pPr>
        <w:spacing w:after="0" w:line="162"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As of June 30, 2023, the maximum number of shares of the Company’s common stock that was authorized for award grants under the 2021 Plan was 17.0 million shares, which includes shares of common stock subject to outstanding awards under certain prior plans as of the effective date of the 2021 Plan that have been forfeited, terminated, expired, lapsed without being exercised or were otherwise reacquired by the Company. Shares issued in respect of all awards granted under the 2021 Plan count against the 2021 Plan’s share limit on a one-for-one basis, whereas under the 2017 Plan, shares issued in respect of awards other than stock options and SARs granted count against the 2017 Plan’s share limit as 1.72 shares for every one share issued in connection with such award. The 2021 Plan will terminate on November 22, 2031, unless terminated earlier by the Company’s Board of Directors.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Under the Company’s ESPP, eligible employees may authorize payroll deductions of up to 10% of their eligible compensation, subject to IRS limitations, during prescribed offering periods to purchase shares of the Company’s common stock at 95% of the fair market value of common stock either at the beginning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spacing w:after="0" w:line="20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During 2023, 2022 and 2021, the Company issued 2.7 million, 2.1 million, and 3.2 million shares, respectively, under the ESPP for aggregate purchase amounts of $92 million, $113 million and $115 million,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To the extent available, the Company may issue shares out of treasury stock upon the vesting of awards, the exercise of employee stock options and the purchase of shares pursuant to the ESPP.</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52" w:lineRule="exact"/>
        <w:rPr>
          <w:sz w:val="20"/>
          <w:szCs w:val="20"/>
          <w:color w:val="auto"/>
        </w:rPr>
      </w:pPr>
    </w:p>
    <w:p>
      <w:pPr>
        <w:ind w:right="340" w:firstLine="324"/>
        <w:spacing w:after="0" w:line="269"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Consolidated Statements of Operations:</w:t>
      </w: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80" w:type="dxa"/>
            <w:vAlign w:val="bottom"/>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6"/>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6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ESPP</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45"/>
        </w:trPr>
        <w:tc>
          <w:tcPr>
            <w:tcW w:w="6740" w:type="dxa"/>
            <w:vAlign w:val="bottom"/>
          </w:tcPr>
          <w:p>
            <w:pPr>
              <w:spacing w:after="0"/>
              <w:rPr>
                <w:sz w:val="21"/>
                <w:szCs w:val="21"/>
                <w:color w:val="auto"/>
              </w:rPr>
            </w:pPr>
          </w:p>
        </w:tc>
        <w:tc>
          <w:tcPr>
            <w:tcW w:w="980" w:type="dxa"/>
            <w:vAlign w:val="bottom"/>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6"/>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6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7"/>
        </w:trPr>
        <w:tc>
          <w:tcPr>
            <w:tcW w:w="6740" w:type="dxa"/>
            <w:vAlign w:val="bottom"/>
          </w:tcPr>
          <w:p>
            <w:pPr>
              <w:ind w:left="140"/>
              <w:spacing w:after="0"/>
              <w:rPr>
                <w:sz w:val="20"/>
                <w:szCs w:val="20"/>
                <w:color w:val="auto"/>
              </w:rPr>
            </w:pPr>
            <w:r>
              <w:rPr>
                <w:rFonts w:ascii="Arial" w:cs="Arial" w:eastAsia="Arial" w:hAnsi="Arial"/>
                <w:sz w:val="16"/>
                <w:szCs w:val="16"/>
                <w:color w:val="auto"/>
              </w:rPr>
              <w:t>Subtotal</w:t>
            </w:r>
          </w:p>
        </w:tc>
        <w:tc>
          <w:tcPr>
            <w:tcW w:w="9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Any shortfalls or excess windfall tax benefits related to the vesting and exercise of stock-based awards, which are recognized as a component of the Company’s Income tax expense, were not material for the periods presented.</w:t>
      </w:r>
    </w:p>
    <w:p>
      <w:pPr>
        <w:spacing w:after="0" w:line="197"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Compensation cost related to unvested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June 30, 2023:</w:t>
      </w:r>
    </w:p>
    <w:tbl>
      <w:tblPr>
        <w:tblLayout w:type="fixed"/>
        <w:tblInd w:w="0" w:type="dxa"/>
        <w:tblCellMar>
          <w:top w:w="0" w:type="dxa"/>
          <w:left w:w="0" w:type="dxa"/>
          <w:bottom w:w="0" w:type="dxa"/>
          <w:right w:w="0" w:type="dxa"/>
        </w:tblCellMar>
      </w:tblPr>
      <w:tr>
        <w:trPr>
          <w:trHeight w:val="151"/>
        </w:trPr>
        <w:tc>
          <w:tcPr>
            <w:tcW w:w="21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43"/>
              <w:spacing w:after="0" w:line="151" w:lineRule="exact"/>
              <w:rPr>
                <w:sz w:val="20"/>
                <w:szCs w:val="20"/>
                <w:color w:val="auto"/>
              </w:rPr>
            </w:pPr>
            <w:r>
              <w:rPr>
                <w:rFonts w:ascii="Arial" w:cs="Arial" w:eastAsia="Arial" w:hAnsi="Arial"/>
                <w:sz w:val="14"/>
                <w:szCs w:val="14"/>
                <w:b w:val="1"/>
                <w:bCs w:val="1"/>
                <w:color w:val="auto"/>
                <w:w w:val="94"/>
              </w:rPr>
              <w:t>Unamortized</w:t>
            </w:r>
          </w:p>
        </w:tc>
        <w:tc>
          <w:tcPr>
            <w:tcW w:w="100" w:type="dxa"/>
            <w:vAlign w:val="bottom"/>
          </w:tcPr>
          <w:p>
            <w:pPr>
              <w:spacing w:after="0"/>
              <w:rPr>
                <w:sz w:val="13"/>
                <w:szCs w:val="13"/>
                <w:color w:val="auto"/>
              </w:rPr>
            </w:pPr>
          </w:p>
        </w:tc>
        <w:tc>
          <w:tcPr>
            <w:tcW w:w="14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216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Service Period</w:t>
            </w:r>
          </w:p>
        </w:tc>
      </w:tr>
      <w:tr>
        <w:trPr>
          <w:trHeight w:val="182"/>
        </w:trPr>
        <w:tc>
          <w:tcPr>
            <w:tcW w:w="21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2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0"/>
        </w:trPr>
        <w:tc>
          <w:tcPr>
            <w:tcW w:w="2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82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2.2</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ESPP</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5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9"/>
              </w:rPr>
              <w:t>1.4</w:t>
            </w:r>
          </w:p>
        </w:tc>
      </w:tr>
      <w:tr>
        <w:trPr>
          <w:trHeight w:val="238"/>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unamortized compensation cost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95"/>
        </w:trPr>
        <w:tc>
          <w:tcPr>
            <w:tcW w:w="216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73"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Weighted average service period assumes the performance conditions are met for the PSUs.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65"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2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Exercise Price Per</w:t>
            </w:r>
          </w:p>
        </w:tc>
        <w:tc>
          <w:tcPr>
            <w:tcW w:w="1660" w:type="dxa"/>
            <w:vAlign w:val="bottom"/>
            <w:gridSpan w:val="3"/>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Remaining</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6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Contractual Life</w:t>
            </w:r>
          </w:p>
        </w:tc>
        <w:tc>
          <w:tcPr>
            <w:tcW w:w="1320" w:type="dxa"/>
            <w:vAlign w:val="bottom"/>
          </w:tcPr>
          <w:p>
            <w:pPr>
              <w:jc w:val="center"/>
              <w:ind w:right="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(in years)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24"/>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outstanding at July 3, 2020</w:t>
            </w:r>
          </w:p>
        </w:tc>
        <w:tc>
          <w:tcPr>
            <w:tcW w:w="1420" w:type="dxa"/>
            <w:vAlign w:val="bottom"/>
            <w:shd w:val="clear" w:color="auto" w:fill="CCEEFF"/>
          </w:tcPr>
          <w:p>
            <w:pPr>
              <w:jc w:val="center"/>
              <w:ind w:left="1021"/>
              <w:spacing w:after="0"/>
              <w:rPr>
                <w:sz w:val="20"/>
                <w:szCs w:val="20"/>
                <w:color w:val="auto"/>
              </w:rPr>
            </w:pPr>
            <w:r>
              <w:rPr>
                <w:rFonts w:ascii="Arial" w:cs="Arial" w:eastAsia="Arial" w:hAnsi="Arial"/>
                <w:sz w:val="16"/>
                <w:szCs w:val="16"/>
                <w:color w:val="auto"/>
                <w:w w:val="89"/>
              </w:rPr>
              <w:t>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420" w:type="dxa"/>
            <w:vAlign w:val="bottom"/>
          </w:tcPr>
          <w:p>
            <w:pPr>
              <w:jc w:val="center"/>
              <w:ind w:left="981"/>
              <w:spacing w:after="0"/>
              <w:rPr>
                <w:sz w:val="20"/>
                <w:szCs w:val="20"/>
                <w:color w:val="auto"/>
              </w:rPr>
            </w:pPr>
            <w:r>
              <w:rPr>
                <w:rFonts w:ascii="Arial" w:cs="Arial" w:eastAsia="Arial" w:hAnsi="Arial"/>
                <w:sz w:val="16"/>
                <w:szCs w:val="16"/>
                <w:color w:val="auto"/>
                <w:w w:val="97"/>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44.34</w:t>
            </w:r>
          </w:p>
        </w:tc>
        <w:tc>
          <w:tcPr>
            <w:tcW w:w="100" w:type="dxa"/>
            <w:vAlign w:val="bottom"/>
          </w:tcPr>
          <w:p>
            <w:pPr>
              <w:spacing w:after="0"/>
              <w:rPr>
                <w:sz w:val="18"/>
                <w:szCs w:val="18"/>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Canceled or expired</w:t>
            </w:r>
          </w:p>
        </w:tc>
        <w:tc>
          <w:tcPr>
            <w:tcW w:w="1420" w:type="dxa"/>
            <w:vAlign w:val="bottom"/>
            <w:tcBorders>
              <w:bottom w:val="single" w:sz="8" w:color="auto"/>
            </w:tcBorders>
            <w:shd w:val="clear" w:color="auto" w:fill="CCEEFF"/>
          </w:tcPr>
          <w:p>
            <w:pPr>
              <w:jc w:val="center"/>
              <w:ind w:left="981"/>
              <w:spacing w:after="0"/>
              <w:rPr>
                <w:sz w:val="20"/>
                <w:szCs w:val="20"/>
                <w:color w:val="auto"/>
              </w:rPr>
            </w:pPr>
            <w:r>
              <w:rPr>
                <w:rFonts w:ascii="Arial" w:cs="Arial" w:eastAsia="Arial" w:hAnsi="Arial"/>
                <w:sz w:val="16"/>
                <w:szCs w:val="16"/>
                <w:color w:val="auto"/>
                <w:w w:val="97"/>
              </w:rPr>
              <w:t>(0.8)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Options outstanding at July 2, 2021</w:t>
            </w:r>
          </w:p>
        </w:tc>
        <w:tc>
          <w:tcPr>
            <w:tcW w:w="1420" w:type="dxa"/>
            <w:vAlign w:val="bottom"/>
          </w:tcPr>
          <w:p>
            <w:pPr>
              <w:jc w:val="center"/>
              <w:ind w:left="1021"/>
              <w:spacing w:after="0"/>
              <w:rPr>
                <w:sz w:val="20"/>
                <w:szCs w:val="20"/>
                <w:color w:val="auto"/>
              </w:rPr>
            </w:pPr>
            <w:r>
              <w:rPr>
                <w:rFonts w:ascii="Arial" w:cs="Arial" w:eastAsia="Arial" w:hAnsi="Arial"/>
                <w:sz w:val="16"/>
                <w:szCs w:val="16"/>
                <w:color w:val="auto"/>
                <w:w w:val="89"/>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72.84</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420" w:type="dxa"/>
            <w:vAlign w:val="bottom"/>
            <w:shd w:val="clear" w:color="auto" w:fill="CCEEFF"/>
          </w:tcPr>
          <w:p>
            <w:pPr>
              <w:jc w:val="center"/>
              <w:ind w:left="981"/>
              <w:spacing w:after="0"/>
              <w:rPr>
                <w:sz w:val="20"/>
                <w:szCs w:val="20"/>
                <w:color w:val="auto"/>
              </w:rPr>
            </w:pPr>
            <w:r>
              <w:rPr>
                <w:rFonts w:ascii="Arial" w:cs="Arial" w:eastAsia="Arial" w:hAnsi="Arial"/>
                <w:sz w:val="16"/>
                <w:szCs w:val="16"/>
                <w:color w:val="auto"/>
                <w:w w:val="97"/>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43.80</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 or expired</w:t>
            </w:r>
          </w:p>
        </w:tc>
        <w:tc>
          <w:tcPr>
            <w:tcW w:w="1420" w:type="dxa"/>
            <w:vAlign w:val="bottom"/>
            <w:tcBorders>
              <w:bottom w:val="single" w:sz="8" w:color="auto"/>
            </w:tcBorders>
          </w:tcPr>
          <w:p>
            <w:pPr>
              <w:jc w:val="center"/>
              <w:ind w:left="981"/>
              <w:spacing w:after="0"/>
              <w:rPr>
                <w:sz w:val="20"/>
                <w:szCs w:val="20"/>
                <w:color w:val="auto"/>
              </w:rPr>
            </w:pPr>
            <w:r>
              <w:rPr>
                <w:rFonts w:ascii="Arial" w:cs="Arial" w:eastAsia="Arial" w:hAnsi="Arial"/>
                <w:sz w:val="16"/>
                <w:szCs w:val="16"/>
                <w:color w:val="auto"/>
                <w:w w:val="97"/>
              </w:rPr>
              <w:t>(0.4)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97.65</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outstanding at July 1, 2022</w:t>
            </w:r>
          </w:p>
        </w:tc>
        <w:tc>
          <w:tcPr>
            <w:tcW w:w="1420" w:type="dxa"/>
            <w:vAlign w:val="bottom"/>
            <w:shd w:val="clear" w:color="auto" w:fill="CCEEFF"/>
          </w:tcPr>
          <w:p>
            <w:pPr>
              <w:jc w:val="center"/>
              <w:ind w:left="1021"/>
              <w:spacing w:after="0"/>
              <w:rPr>
                <w:sz w:val="20"/>
                <w:szCs w:val="20"/>
                <w:color w:val="auto"/>
              </w:rPr>
            </w:pPr>
            <w:r>
              <w:rPr>
                <w:rFonts w:ascii="Arial" w:cs="Arial" w:eastAsia="Arial" w:hAnsi="Arial"/>
                <w:sz w:val="16"/>
                <w:szCs w:val="16"/>
                <w:color w:val="auto"/>
                <w:w w:val="89"/>
              </w:rPr>
              <w:t>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 or expired</w:t>
            </w:r>
          </w:p>
        </w:tc>
        <w:tc>
          <w:tcPr>
            <w:tcW w:w="1420" w:type="dxa"/>
            <w:vAlign w:val="bottom"/>
            <w:tcBorders>
              <w:bottom w:val="single" w:sz="8" w:color="auto"/>
            </w:tcBorders>
          </w:tcPr>
          <w:p>
            <w:pPr>
              <w:jc w:val="center"/>
              <w:ind w:left="981"/>
              <w:spacing w:after="0"/>
              <w:rPr>
                <w:sz w:val="20"/>
                <w:szCs w:val="20"/>
                <w:color w:val="auto"/>
              </w:rPr>
            </w:pPr>
            <w:r>
              <w:rPr>
                <w:rFonts w:ascii="Arial" w:cs="Arial" w:eastAsia="Arial" w:hAnsi="Arial"/>
                <w:sz w:val="16"/>
                <w:szCs w:val="16"/>
                <w:color w:val="auto"/>
                <w:w w:val="97"/>
              </w:rPr>
              <w:t>(0.6)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80.72</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June 30, 2023</w:t>
            </w:r>
          </w:p>
        </w:tc>
        <w:tc>
          <w:tcPr>
            <w:tcW w:w="1420" w:type="dxa"/>
            <w:vAlign w:val="bottom"/>
            <w:tcBorders>
              <w:bottom w:val="single" w:sz="8" w:color="auto"/>
            </w:tcBorders>
            <w:shd w:val="clear" w:color="auto" w:fill="CCEEFF"/>
          </w:tcPr>
          <w:p>
            <w:pPr>
              <w:jc w:val="center"/>
              <w:ind w:left="1021"/>
              <w:spacing w:after="0"/>
              <w:rPr>
                <w:sz w:val="20"/>
                <w:szCs w:val="20"/>
                <w:color w:val="auto"/>
              </w:rPr>
            </w:pPr>
            <w:r>
              <w:rPr>
                <w:rFonts w:ascii="Arial" w:cs="Arial" w:eastAsia="Arial" w:hAnsi="Arial"/>
                <w:sz w:val="16"/>
                <w:szCs w:val="16"/>
                <w:color w:val="auto"/>
                <w:w w:val="89"/>
              </w:rPr>
              <w:t>0.3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options were granted in 2023, 2022 or 2021. All outstanding options were exercisable at June 30, 2023.</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RSUs and PSUs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Grant Date Fair Value</w:t>
            </w:r>
          </w:p>
        </w:tc>
        <w:tc>
          <w:tcPr>
            <w:tcW w:w="120" w:type="dxa"/>
            <w:vAlign w:val="bottom"/>
          </w:tcPr>
          <w:p>
            <w:pPr>
              <w:spacing w:after="0"/>
              <w:rPr>
                <w:sz w:val="17"/>
                <w:szCs w:val="17"/>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Value at Vest Date</w:t>
            </w:r>
          </w:p>
        </w:tc>
        <w:tc>
          <w:tcPr>
            <w:tcW w:w="0" w:type="dxa"/>
            <w:vAlign w:val="bottom"/>
          </w:tcPr>
          <w:p>
            <w:pPr>
              <w:spacing w:after="0"/>
              <w:rPr>
                <w:sz w:val="1"/>
                <w:szCs w:val="1"/>
                <w:color w:val="auto"/>
              </w:rPr>
            </w:pPr>
          </w:p>
        </w:tc>
      </w:tr>
      <w:tr>
        <w:trPr>
          <w:trHeight w:val="182"/>
        </w:trPr>
        <w:tc>
          <w:tcPr>
            <w:tcW w:w="6700" w:type="dxa"/>
            <w:vAlign w:val="bottom"/>
          </w:tcPr>
          <w:p>
            <w:pPr>
              <w:spacing w:after="0"/>
              <w:rPr>
                <w:sz w:val="15"/>
                <w:szCs w:val="15"/>
                <w:color w:val="auto"/>
              </w:rPr>
            </w:pPr>
          </w:p>
        </w:tc>
        <w:tc>
          <w:tcPr>
            <w:tcW w:w="142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24"/>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July 3,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July 2,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July 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June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Valuation Assumptions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 and PSU Grants</w:t>
      </w:r>
    </w:p>
    <w:p>
      <w:pPr>
        <w:spacing w:after="0" w:line="252"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The fair value of the Company’s RSU and PSU awards with a performance condition is determined based upon the closing price of the Company’s stock price on the date of grant. The fair value of PSU awards with a market condition is estimated using a Monte Carlo simulation model on the date of grant.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ESPP — Black-Scholes-Merton Model</w:t>
      </w:r>
    </w:p>
    <w:p>
      <w:pPr>
        <w:spacing w:after="0" w:line="252"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The fair value of ESPP purchase rights issued is estimated at the date of grant of the purchase rights using the Black-Scholes-Merton option-pricing model. The Black-Scholes-Merton option-pricing model requires the input of assumptions such as the expected stock price volatility and the expected period until options are exercised. Purchase rights under the ESPP are generally granted on either June 1st or December 1st of each year.</w:t>
      </w:r>
    </w:p>
    <w:p>
      <w:pPr>
        <w:spacing w:after="0" w:line="176" w:lineRule="exact"/>
        <w:rPr>
          <w:sz w:val="20"/>
          <w:szCs w:val="20"/>
          <w:color w:val="auto"/>
        </w:rPr>
      </w:pPr>
    </w:p>
    <w:p>
      <w:pPr>
        <w:ind w:right="700" w:firstLine="324"/>
        <w:spacing w:after="0" w:line="269" w:lineRule="auto"/>
        <w:rPr>
          <w:sz w:val="20"/>
          <w:szCs w:val="20"/>
          <w:color w:val="auto"/>
        </w:rPr>
      </w:pPr>
      <w:r>
        <w:rPr>
          <w:rFonts w:ascii="Arial" w:cs="Arial" w:eastAsia="Arial" w:hAnsi="Arial"/>
          <w:sz w:val="18"/>
          <w:szCs w:val="18"/>
          <w:color w:val="auto"/>
        </w:rPr>
        <w:t>The fair values of ESPP purchase rights have been estimated at the date of grant using a Black-Scholes-Merton option-pricing model with the following weighted average assumptions:</w:t>
      </w: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67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expected term (in years)</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1.25</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4.52%</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1.42%</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0.10%</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price volatility</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0.56</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$9.70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$21.59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56"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On January 31, 2023, the Board of Directors of the Company authorized the designation of 900,000 shares of Series A Convertible Perpetual Preferred Stock, par value $0.01 per share (the “Preferred Shares”), from the Company’s existing five million authorized but unissued shares of preferred stock and issued the Preferred Shares through a private placement for an aggregate purchase price of $900 million, less issuance costs of $24 million.</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Dividend provisions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Preferred Shares will have a stated value of $1,000 per share and accrue a cumulative preferred dividend at an annual rate of 6.25% per annum (increasing to 7.25% per annum on January 31, 2030 and to 8.25% per annum on January 31, 2033) compounded on a quarterly basis. The Preferred Shares will also participate in any dividends declared for common shareholders on an as-converted equivalent basis. As of June 30, 2023, (i) no dividends have been declared or paid since the issuance of the Preferred Shares, and (ii) unpaid and cumulative dividends payable with respect to the Preferred Shares were $24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Conversion rights</w:t>
      </w:r>
    </w:p>
    <w:p>
      <w:pPr>
        <w:spacing w:after="0" w:line="25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Preferred Shares will be convertible into shares of the Company’s common stock at an initial conversion rate of $47.75 per share (the “Conversion Price”) (subject to anti-dilution adjustments and certain other one-time adjustments upon the occurrence of various specified spin-off transactions) applied to the aggregate sum of the stated value of the Preferred Shares plus any cumulative accrued but unpaid dividends (the “Accumulated Stated Value”). In the event of a standalone spin-off transaction, the holders of Preferred Shares may have one third of their Preferred Shares converted to a similar class of preferred shares of the spin-off entity. The Preferred Shares will be convertible at the option of the holder upon the earlier of on January 31, 2024, and the date a specified spin-off transaction is completed, unless the Company enters into a definitive agreement with respect to a sale, merger or combination of the spun-off entity, in which case the twelve (12) month period will be extended until the earlier of the consummation of such transaction or the termination of the definitive agreement. The Preferred Shares will be convertible at the option of the Company after January 31, 2026 if the closing price per share of the Company’s common stock exceeds 150% of the Conversion Price for at least 20 out of 30 consecutive trading days immediately prior to the Company’s conversion notice. As of June 30, 2023, the Preferred Shares outstanding would have been convertible, if otherwise permitted, into 19 million shares of common stock.</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Redemption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After January 31, 2030, the Company will have the right, but not the obligation, to redeem the Preferred Shares for an amount in cash equal to 110% of the Accumulated Stated Value. Redemption is contingently mandatory in the event of a fundamental change in the business as defined in the designation of the Preferred Shares.</w:t>
      </w:r>
    </w:p>
    <w:p>
      <w:pPr>
        <w:spacing w:after="0" w:line="211" w:lineRule="exact"/>
        <w:rPr>
          <w:sz w:val="20"/>
          <w:szCs w:val="20"/>
          <w:color w:val="auto"/>
        </w:rPr>
      </w:pPr>
    </w:p>
    <w:p>
      <w:pPr>
        <w:ind w:right="320" w:firstLine="324"/>
        <w:spacing w:after="0" w:line="296" w:lineRule="auto"/>
        <w:rPr>
          <w:sz w:val="20"/>
          <w:szCs w:val="20"/>
          <w:color w:val="auto"/>
        </w:rPr>
      </w:pPr>
      <w:r>
        <w:rPr>
          <w:rFonts w:ascii="Arial" w:cs="Arial" w:eastAsia="Arial" w:hAnsi="Arial"/>
          <w:sz w:val="16"/>
          <w:szCs w:val="16"/>
          <w:color w:val="auto"/>
        </w:rPr>
        <w:t>The Preferred Shares has been classified as mezzanine equity in the Company’s Condensed Consolidated Balance Sheets because, in the event of certain fundamental change in the business that are not solely within the control of the Company, the Preferred Shares would become redeemable at the option of the holders. The Company did not adjust the carrying values of the Preferred Shares to the current redemption value of such shares since a liquidation event was not probable at any of the balance sheet dates. Subsequent adjustments to increase or decrease the carrying values to the ultimate redemption value will be made only if and when it becomes probable that such a fundamental change in the business will occur.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Voting right</w:t>
      </w:r>
    </w:p>
    <w:p>
      <w:pPr>
        <w:spacing w:after="0" w:line="25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Preferred Shares will vote, to the extent permitted under the Nasdaq listing rules, on an as-converted equivalent basis along with holders of the Company’s common stock.</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Liquidation preference</w:t>
      </w:r>
    </w:p>
    <w:p>
      <w:pPr>
        <w:spacing w:after="0" w:line="252"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the event of any voluntary or involuntary liquidation, holders of the Preferred Shares will be senior to the holders of the Company’s common stock and the liquidation preference is the greater of (i) the sum of an amount in cash equal to 110% of the Accumulated Stated Value plus accrued and unpaid dividends and (ii) the payment that the holders of Preferred Shares would have received had all Preferred Shares been converted into common stock immediately prior to such liquidation, before any distributions are made to common shareholders and all other classes of junior capital stock of the Company. As of June 30, 2023, the total aggregate liquidation preference was $924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5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Company’s Board of Directors previously authorized a stock repurchase program for the repurchase of up to $5.00 billion of the Company’s common stock, which expired on July 25, 2023. For the year ended June 30, 2023, and through the expiration date of the program, the Company did not make any stock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Reserved for Issuance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all common stock reserved for issuance at June 30,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1440" w:type="dxa"/>
            <w:vAlign w:val="bottom"/>
          </w:tcPr>
          <w:p>
            <w:pPr>
              <w:jc w:val="right"/>
              <w:ind w:right="83"/>
              <w:spacing w:after="0"/>
              <w:rPr>
                <w:sz w:val="20"/>
                <w:szCs w:val="20"/>
                <w:color w:val="auto"/>
              </w:rPr>
            </w:pPr>
            <w:r>
              <w:rPr>
                <w:rFonts w:ascii="Arial" w:cs="Arial" w:eastAsia="Arial" w:hAnsi="Arial"/>
                <w:sz w:val="14"/>
                <w:szCs w:val="14"/>
                <w:b w:val="1"/>
                <w:bCs w:val="1"/>
                <w:color w:val="auto"/>
              </w:rPr>
              <w:t>Number of Shares</w:t>
            </w:r>
          </w:p>
        </w:tc>
      </w:tr>
      <w:tr>
        <w:trPr>
          <w:trHeight w:val="26"/>
        </w:trPr>
        <w:tc>
          <w:tcPr>
            <w:tcW w:w="98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6"/>
        </w:trPr>
        <w:tc>
          <w:tcPr>
            <w:tcW w:w="9800" w:type="dxa"/>
            <w:vAlign w:val="bottom"/>
          </w:tcPr>
          <w:p>
            <w:pPr>
              <w:spacing w:after="0"/>
              <w:rPr>
                <w:sz w:val="15"/>
                <w:szCs w:val="15"/>
                <w:color w:val="auto"/>
              </w:rPr>
            </w:pPr>
          </w:p>
        </w:tc>
        <w:tc>
          <w:tcPr>
            <w:tcW w:w="1440" w:type="dxa"/>
            <w:vAlign w:val="bottom"/>
          </w:tcPr>
          <w:p>
            <w:pPr>
              <w:jc w:val="right"/>
              <w:ind w:right="283"/>
              <w:spacing w:after="0"/>
              <w:rPr>
                <w:sz w:val="20"/>
                <w:szCs w:val="20"/>
                <w:color w:val="auto"/>
              </w:rPr>
            </w:pPr>
            <w:r>
              <w:rPr>
                <w:rFonts w:ascii="Arial" w:cs="Arial" w:eastAsia="Arial" w:hAnsi="Arial"/>
                <w:sz w:val="14"/>
                <w:szCs w:val="14"/>
                <w:i w:val="1"/>
                <w:iCs w:val="1"/>
                <w:color w:val="auto"/>
              </w:rPr>
              <w:t>(in millions)</w:t>
            </w:r>
          </w:p>
        </w:tc>
      </w:tr>
      <w:tr>
        <w:trPr>
          <w:trHeight w:val="20"/>
        </w:trPr>
        <w:tc>
          <w:tcPr>
            <w:tcW w:w="9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awards and shares available for award grants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ESPP</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34"/>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5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issued a quarterly cash dividend from the first quarter of 2013 up to the third quarter of 2020. In April 2020, the Company suspended its dividend to reinvest in the business and to support its ongoing deleveraging efforts.</w:t>
      </w:r>
    </w:p>
    <w:p>
      <w:pPr>
        <w:sectPr>
          <w:pgSz w:w="11900" w:h="16838" w:orient="portrait"/>
          <w:cols w:equalWidth="0" w:num="1">
            <w:col w:w="11240"/>
          </w:cols>
          <w:pgMar w:left="320" w:top="125" w:right="339" w:bottom="9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966"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Income Tax Expense</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(loss) Before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domestic and foreign components of Income (loss) before taxes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6"/>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6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Domestic</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r>
      <w:tr>
        <w:trPr>
          <w:trHeight w:val="234"/>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(loss) before taxes</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(1,560)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income tax expense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2021</w:t>
            </w:r>
          </w:p>
        </w:tc>
      </w:tr>
      <w:tr>
        <w:trPr>
          <w:trHeight w:val="26"/>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6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Foreign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Domestic - Federal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3"/>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Domestic - State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2"/>
        </w:trPr>
        <w:tc>
          <w:tcPr>
            <w:tcW w:w="67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193"/>
        </w:trPr>
        <w:tc>
          <w:tcPr>
            <w:tcW w:w="6740" w:type="dxa"/>
            <w:vAlign w:val="bottom"/>
          </w:tcPr>
          <w:p>
            <w:pPr>
              <w:ind w:left="20"/>
              <w:spacing w:after="0"/>
              <w:rPr>
                <w:sz w:val="20"/>
                <w:szCs w:val="20"/>
                <w:color w:val="auto"/>
              </w:rPr>
            </w:pPr>
            <w:r>
              <w:rPr>
                <w:rFonts w:ascii="Arial" w:cs="Arial" w:eastAsia="Arial" w:hAnsi="Arial"/>
                <w:sz w:val="16"/>
                <w:szCs w:val="16"/>
                <w:color w:val="auto"/>
              </w:rPr>
              <w:t>Deferred:</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Domestic - Federal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Domestic - State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Tax Cuts and Jobs Act (the “2017 Act”), enacted on December 22, 2017, includes a broad range of tax reform proposals affecting businesses. The Company completed its accounting for the tax effects of the enactment of the 2017 Act during the second quarter of 2019. However, the U.S. Treasury and the Internal Revenue Services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205"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On August 16, 2022, President Biden signed into law the Inflation Reduction Act of 2022, which contained significant law changes related to tax, climate, energy, and health care. The tax measures include, among other things, a corporate alternative minimum tax (“CAMT”) of 15% on corporations with three-year average annual adjusted financial statement income (“AFSI”) exceeding $1.00 billion. The corporate alternative minimum tax will be effective for the Company beginning with 2024 and the Company is currently evaluating the potential effects of these legislative changes.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Temporary differences and carryforwards, which give rise to a significant portion of deferred tax assets and liabilities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July 1,</w:t>
            </w:r>
          </w:p>
        </w:tc>
      </w:tr>
      <w:tr>
        <w:trPr>
          <w:trHeight w:val="192"/>
        </w:trPr>
        <w:tc>
          <w:tcPr>
            <w:tcW w:w="8260" w:type="dxa"/>
            <w:vAlign w:val="bottom"/>
          </w:tcPr>
          <w:p>
            <w:pPr>
              <w:spacing w:after="0"/>
              <w:rPr>
                <w:sz w:val="16"/>
                <w:szCs w:val="16"/>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r>
      <w:tr>
        <w:trPr>
          <w:trHeight w:val="182"/>
        </w:trPr>
        <w:tc>
          <w:tcPr>
            <w:tcW w:w="8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0"/>
        </w:trPr>
        <w:tc>
          <w:tcPr>
            <w:tcW w:w="8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Sales related reserves and accrued expenses not currently deductible</w:t>
            </w: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 not currently deductible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Net operating loss carryforward</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credit carryforward</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Long-lived assets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6"/>
        </w:trPr>
        <w:tc>
          <w:tcPr>
            <w:tcW w:w="8260" w:type="dxa"/>
            <w:vAlign w:val="bottom"/>
          </w:tcPr>
          <w:p>
            <w:pPr>
              <w:ind w:left="20"/>
              <w:spacing w:after="0"/>
              <w:rPr>
                <w:sz w:val="20"/>
                <w:szCs w:val="20"/>
                <w:color w:val="auto"/>
              </w:rPr>
            </w:pPr>
            <w:r>
              <w:rPr>
                <w:rFonts w:ascii="Arial" w:cs="Arial" w:eastAsia="Arial" w:hAnsi="Arial"/>
                <w:sz w:val="16"/>
                <w:szCs w:val="16"/>
                <w:color w:val="auto"/>
              </w:rPr>
              <w:t>Total deferred tax assets</w:t>
            </w: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1,028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Long-lived assets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Unremitted earnings of certain non-U.S. entities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allowances</w:t>
            </w: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r>
      <w:tr>
        <w:trPr>
          <w:trHeight w:val="23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assessment of valuation allowances against deferred tax assets requires estimations and significant judgment.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most of its deferred tax assets with the exception of certain loss and credit carryforwards.</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is permanently reinvested with respect to certain foreign earnings. There is no unrecognized deferred tax liability associated with the repatriation of these foreign undistributed earnings as it can be achieved without additional federal tax consequences.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Effective Tax Rate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Reconciliation of the U.S. Federal statutory rate to the Company’s effective tax rate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gridSpan w:val="2"/>
          </w:tcPr>
          <w:p>
            <w:pPr>
              <w:ind w:left="7080"/>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520" w:type="dxa"/>
            <w:vAlign w:val="bottom"/>
          </w:tcPr>
          <w:p>
            <w:pPr>
              <w:jc w:val="right"/>
              <w:ind w:right="540"/>
              <w:spacing w:after="0"/>
              <w:rPr>
                <w:sz w:val="20"/>
                <w:szCs w:val="20"/>
                <w:color w:val="auto"/>
              </w:rPr>
            </w:pPr>
            <w:r>
              <w:rPr>
                <w:rFonts w:ascii="Arial" w:cs="Arial" w:eastAsia="Arial" w:hAnsi="Arial"/>
                <w:sz w:val="14"/>
                <w:szCs w:val="14"/>
                <w:b w:val="1"/>
                <w:bCs w:val="1"/>
                <w:color w:val="auto"/>
              </w:rPr>
              <w:t>2021</w:t>
            </w:r>
          </w:p>
        </w:tc>
      </w:tr>
      <w:tr>
        <w:trPr>
          <w:trHeight w:val="26"/>
        </w:trPr>
        <w:tc>
          <w:tcPr>
            <w:tcW w:w="64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Federal statutory rate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3"/>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Tax rate differential on international income</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8</w:t>
            </w:r>
          </w:p>
        </w:tc>
      </w:tr>
      <w:tr>
        <w:trPr>
          <w:trHeight w:val="21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of U.S. foreign income inclusion</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r>
      <w:tr>
        <w:trPr>
          <w:trHeight w:val="213"/>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Tax effect of U.S. foreign minimum tax</w:t>
            </w: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1</w:t>
            </w:r>
          </w:p>
        </w:tc>
      </w:tr>
      <w:tr>
        <w:trPr>
          <w:trHeight w:val="21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of U.S. foreign derived intangible income</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r>
      <w:tr>
        <w:trPr>
          <w:trHeight w:val="213"/>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Tax effect of U.S. non-deductible stock-based compensation</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1</w:t>
            </w:r>
          </w:p>
        </w:tc>
      </w:tr>
      <w:tr>
        <w:trPr>
          <w:trHeight w:val="21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of U.S. permanent differences</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r>
      <w:tr>
        <w:trPr>
          <w:trHeight w:val="213"/>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IRS Tentative Settlement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r>
      <w:tr>
        <w:trPr>
          <w:trHeight w:val="213"/>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Unremitted earnings of certain non-U.S. entities</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6</w:t>
            </w:r>
          </w:p>
        </w:tc>
      </w:tr>
      <w:tr>
        <w:trPr>
          <w:trHeight w:val="21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income tax credits</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r>
      <w:tr>
        <w:trPr>
          <w:trHeight w:val="213"/>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R&amp;D tax credits</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(8)</w:t>
            </w:r>
          </w:p>
        </w:tc>
      </w:tr>
      <w:tr>
        <w:trPr>
          <w:trHeight w:val="21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return to provision</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r>
      <w:tr>
        <w:trPr>
          <w:trHeight w:val="21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w:t>
            </w:r>
          </w:p>
        </w:tc>
      </w:tr>
      <w:tr>
        <w:trPr>
          <w:trHeight w:val="233"/>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 Holidays and Carryforwards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substantial portion of the Company’s manufacturing operations in Malaysia, the Philippines and Thailand operate under various tax holidays and tax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incentive programs, which will expire in whole or in part at various dates during 2024 through 2031. Certain tax holidays and tax incentive programs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extended if specific conditions are met. The net impact of these tax holidays and tax incentives was an increase to the Company’s net earnings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$140 million, or $0.44 per diluted share, $566 million, or $1.79 per diluted share, and $390 million, or $1.26 per diluted share, in 2023, 2022, and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38"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As of June 30, 2023, the Company had varying amounts of federal and state NOL/tax credit carryforwards that do not expire or, if not used, expire in various years. Following is a summary of the Company’s federal and state NOL/tax credit carryforwards and the related expiration dates of these NOL/tax credit carryforwards:</w:t>
      </w: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0" w:type="dxa"/>
            <w:vAlign w:val="bottom"/>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97"/>
              </w:rPr>
              <w:t>NOL/Tax Credit</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Jurisdiction</w:t>
            </w:r>
          </w:p>
        </w:tc>
        <w:tc>
          <w:tcPr>
            <w:tcW w:w="294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Carryforward</w:t>
            </w: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auto"/>
            </w:tcBorders>
            <w:vMerge w:val="continue"/>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i w:val="1"/>
                <w:iCs w:val="1"/>
                <w:color w:val="auto"/>
                <w:w w:val="98"/>
              </w:rPr>
              <w:t>(in millions)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NOL (Pre 2017 Act Generation)</w:t>
            </w:r>
          </w:p>
        </w:tc>
        <w:tc>
          <w:tcPr>
            <w:tcW w:w="2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2024 to 2038</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State NOL</w:t>
            </w:r>
          </w:p>
        </w:tc>
        <w:tc>
          <w:tcPr>
            <w:tcW w:w="29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2032 to 2043</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tax credits</w:t>
            </w:r>
          </w:p>
        </w:tc>
        <w:tc>
          <w:tcPr>
            <w:tcW w:w="2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2024 to 2032</w:t>
            </w:r>
          </w:p>
        </w:tc>
        <w:tc>
          <w:tcPr>
            <w:tcW w:w="0" w:type="dxa"/>
            <w:vAlign w:val="bottom"/>
          </w:tcPr>
          <w:p>
            <w:pPr>
              <w:spacing w:after="0"/>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6"/>
                <w:szCs w:val="16"/>
                <w:color w:val="auto"/>
              </w:rPr>
              <w:t>State tax credits</w:t>
            </w:r>
          </w:p>
        </w:tc>
        <w:tc>
          <w:tcPr>
            <w:tcW w:w="29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federal and state NOLs and credits relating to various acquisitions are subject to limitations under Sections 382 and 383 of the Internal Revenue Code. The Company expects the total amount of federal and state NOLs ultimately realized will be reduced as a result of these provisions by $116 million and $240 million, respectively. The Company expects the total amount of federal and state credits ultimately realized will be reduced as a result of these provisions by $27 million and $2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As of June 30, 2023, the Company had varying amounts of foreign NOL carryforwards that do not expire or, if not used, expire in various years, depending on the country. The major jurisdictions that the Company receives foreign NOL carryforwards and the related amounts and expiration dates of these NOL carryforwards are as follows:</w:t>
      </w:r>
    </w:p>
    <w:tbl>
      <w:tblPr>
        <w:tblLayout w:type="fixed"/>
        <w:tblInd w:w="0" w:type="dxa"/>
        <w:tblCellMar>
          <w:top w:w="0" w:type="dxa"/>
          <w:left w:w="0" w:type="dxa"/>
          <w:bottom w:w="0" w:type="dxa"/>
          <w:right w:w="0" w:type="dxa"/>
        </w:tblCellMar>
      </w:tblPr>
      <w:tr>
        <w:trPr>
          <w:trHeight w:val="151"/>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Jurisdiction</w:t>
            </w:r>
          </w:p>
        </w:tc>
        <w:tc>
          <w:tcPr>
            <w:tcW w:w="3840" w:type="dxa"/>
            <w:vAlign w:val="bottom"/>
          </w:tcPr>
          <w:p>
            <w:pPr>
              <w:spacing w:after="0"/>
              <w:rPr>
                <w:sz w:val="13"/>
                <w:szCs w:val="13"/>
                <w:color w:val="auto"/>
              </w:rPr>
            </w:pPr>
          </w:p>
        </w:tc>
        <w:tc>
          <w:tcPr>
            <w:tcW w:w="1420" w:type="dxa"/>
            <w:vAlign w:val="bottom"/>
            <w:gridSpan w:val="2"/>
          </w:tcPr>
          <w:p>
            <w:pPr>
              <w:jc w:val="center"/>
              <w:ind w:right="200"/>
              <w:spacing w:after="0" w:line="151" w:lineRule="exact"/>
              <w:rPr>
                <w:sz w:val="20"/>
                <w:szCs w:val="20"/>
                <w:color w:val="auto"/>
              </w:rPr>
            </w:pPr>
            <w:r>
              <w:rPr>
                <w:rFonts w:ascii="Arial" w:cs="Arial" w:eastAsia="Arial" w:hAnsi="Arial"/>
                <w:sz w:val="14"/>
                <w:szCs w:val="14"/>
                <w:b w:val="1"/>
                <w:bCs w:val="1"/>
                <w:color w:val="auto"/>
              </w:rPr>
              <w:t>NOL Carryforward</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540" w:type="dxa"/>
            <w:vAlign w:val="bottom"/>
            <w:vMerge w:val="continue"/>
          </w:tcPr>
          <w:p>
            <w:pPr>
              <w:spacing w:after="0"/>
              <w:rPr>
                <w:sz w:val="16"/>
                <w:szCs w:val="16"/>
                <w:color w:val="auto"/>
              </w:rPr>
            </w:pPr>
          </w:p>
        </w:tc>
        <w:tc>
          <w:tcPr>
            <w:tcW w:w="384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540" w:type="dxa"/>
            <w:vAlign w:val="bottom"/>
            <w:tcBorders>
              <w:top w:val="single" w:sz="8" w:color="auto"/>
            </w:tcBorders>
          </w:tcPr>
          <w:p>
            <w:pPr>
              <w:spacing w:after="0"/>
              <w:rPr>
                <w:sz w:val="15"/>
                <w:szCs w:val="15"/>
                <w:color w:val="auto"/>
              </w:rPr>
            </w:pPr>
          </w:p>
        </w:tc>
        <w:tc>
          <w:tcPr>
            <w:tcW w:w="38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22"/>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Malaysia</w:t>
            </w:r>
          </w:p>
        </w:tc>
        <w:tc>
          <w:tcPr>
            <w:tcW w:w="3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2025 to 2028</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Belgium</w:t>
            </w:r>
          </w:p>
        </w:tc>
        <w:tc>
          <w:tcPr>
            <w:tcW w:w="3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Japan</w:t>
            </w:r>
          </w:p>
        </w:tc>
        <w:tc>
          <w:tcPr>
            <w:tcW w:w="3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2024 to 2031</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Spain</w:t>
            </w:r>
          </w:p>
        </w:tc>
        <w:tc>
          <w:tcPr>
            <w:tcW w:w="3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Netherlands</w:t>
            </w:r>
          </w:p>
        </w:tc>
        <w:tc>
          <w:tcPr>
            <w:tcW w:w="3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2025 to 2026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Uncertain Tax Positions</w:t>
      </w:r>
    </w:p>
    <w:p>
      <w:pPr>
        <w:spacing w:after="0" w:line="2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With the exception of certain unrecognized tax benefits that are directly associated with the tax position taken, unrecognized tax benefits are presented gross in the Consolidated Balance Sheets.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tabular reconciliation of the total amounts of unrecognized tax benefits excluding accrued interest and penalties: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920" w:type="dxa"/>
            <w:vAlign w:val="bottom"/>
          </w:tcPr>
          <w:p>
            <w:pPr>
              <w:jc w:val="right"/>
              <w:ind w:right="5"/>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2021</w:t>
            </w:r>
          </w:p>
        </w:tc>
      </w:tr>
      <w:tr>
        <w:trPr>
          <w:trHeight w:val="26"/>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6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 beginning balance</w:t>
            </w:r>
          </w:p>
        </w:tc>
        <w:tc>
          <w:tcPr>
            <w:tcW w:w="920" w:type="dxa"/>
            <w:vAlign w:val="bottom"/>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Gross increases related to current year tax positions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increases related to prior year tax positions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Gross decreases related to prior year tax positions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Lapse of statute of limitations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3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 ending balance</w:t>
            </w:r>
          </w:p>
        </w:tc>
        <w:tc>
          <w:tcPr>
            <w:tcW w:w="92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As of June 30, 2023, July 1, 2022 and July 2, 2021, the portion of the gross unrecognized tax benefits, if recognized, that would affect the effective tax rate is $855 million, $903 million, and $612 million, respectively.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June 30, 2023, July 1, 2022 and July 2, 2021 was $289 million, $254 million and $138 million, respectively. As of June 30, 2023, July 1, 2022 and July 2, 2021, the Company’s payables related to unrecognized tax benefits, including accrued interest and penalties, were $1.14 billion, $1.16 billion, and $750 million, respectively. The Company believes it is reasonably likely that payments of approximately $720 million to $760 million may be made within the next twelve months and have classified that portion of these unrecognized tax benefits, including interest, in Income taxes payable on the Consolidated Balance Sheets as of June 30, 2023. The remaining payables related to unrecognized tax benefits are included in Other liabilities on the Consolidated Balance Sheets as of June 30, 2023, July 1, 2022 and July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firstLine="324"/>
        <w:spacing w:after="0" w:line="295" w:lineRule="auto"/>
        <w:rPr>
          <w:sz w:val="20"/>
          <w:szCs w:val="20"/>
          <w:color w:val="auto"/>
        </w:rPr>
      </w:pPr>
      <w:r>
        <w:rPr>
          <w:rFonts w:ascii="Arial" w:cs="Arial" w:eastAsia="Arial" w:hAnsi="Arial"/>
          <w:sz w:val="16"/>
          <w:szCs w:val="16"/>
          <w:color w:val="auto"/>
        </w:rPr>
        <w:t>The Company files U.S. Federal, U.S. state and foreign tax returns. For both federal and state tax returns, with few exceptions, the Company is subject to examination for 2013 through 2020. The Company is no longer subject to examination by the IRS for periods prior to 2012, although carry forwards generated prior to those periods may still be adjusted upon examination by the IRS or state taxing authority if they either have been or will be used in a subsequent period. In the following major foreign jurisdictions where there is no tax holiday, the Company could be subject to examination as noted below:</w:t>
      </w:r>
    </w:p>
    <w:tbl>
      <w:tblPr>
        <w:tblLayout w:type="fixed"/>
        <w:tblInd w:w="0" w:type="dxa"/>
        <w:tblCellMar>
          <w:top w:w="0" w:type="dxa"/>
          <w:left w:w="0" w:type="dxa"/>
          <w:bottom w:w="0" w:type="dxa"/>
          <w:right w:w="0" w:type="dxa"/>
        </w:tblCellMar>
      </w:tblPr>
      <w:tr>
        <w:trPr>
          <w:trHeight w:val="176"/>
        </w:trPr>
        <w:tc>
          <w:tcPr>
            <w:tcW w:w="9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Period Subject to</w:t>
            </w:r>
          </w:p>
        </w:tc>
      </w:tr>
      <w:tr>
        <w:trPr>
          <w:trHeight w:val="237"/>
        </w:trPr>
        <w:tc>
          <w:tcPr>
            <w:tcW w:w="9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Jurisdiction</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Examination</w:t>
            </w:r>
          </w:p>
        </w:tc>
      </w:tr>
      <w:tr>
        <w:trPr>
          <w:trHeight w:val="22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China (calendar)</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2013-2022</w:t>
            </w:r>
          </w:p>
        </w:tc>
      </w:tr>
      <w:tr>
        <w:trPr>
          <w:trHeight w:val="220"/>
        </w:trPr>
        <w:tc>
          <w:tcPr>
            <w:tcW w:w="9800" w:type="dxa"/>
            <w:vAlign w:val="bottom"/>
            <w:gridSpan w:val="2"/>
          </w:tcPr>
          <w:p>
            <w:pPr>
              <w:ind w:left="20"/>
              <w:spacing w:after="0"/>
              <w:rPr>
                <w:sz w:val="20"/>
                <w:szCs w:val="20"/>
                <w:color w:val="auto"/>
              </w:rPr>
            </w:pPr>
            <w:r>
              <w:rPr>
                <w:rFonts w:ascii="Arial" w:cs="Arial" w:eastAsia="Arial" w:hAnsi="Arial"/>
                <w:sz w:val="16"/>
                <w:szCs w:val="16"/>
                <w:color w:val="auto"/>
              </w:rPr>
              <w:t>Ireland (fiscal)</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2019-2022</w:t>
            </w:r>
          </w:p>
        </w:tc>
      </w:tr>
      <w:tr>
        <w:trPr>
          <w:trHeight w:val="23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India (fiscal)</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2009-2022</w:t>
            </w:r>
          </w:p>
        </w:tc>
      </w:tr>
      <w:tr>
        <w:trPr>
          <w:trHeight w:val="220"/>
        </w:trPr>
        <w:tc>
          <w:tcPr>
            <w:tcW w:w="9800" w:type="dxa"/>
            <w:vAlign w:val="bottom"/>
            <w:gridSpan w:val="2"/>
          </w:tcPr>
          <w:p>
            <w:pPr>
              <w:ind w:left="20"/>
              <w:spacing w:after="0"/>
              <w:rPr>
                <w:sz w:val="20"/>
                <w:szCs w:val="20"/>
                <w:color w:val="auto"/>
              </w:rPr>
            </w:pPr>
            <w:r>
              <w:rPr>
                <w:rFonts w:ascii="Arial" w:cs="Arial" w:eastAsia="Arial" w:hAnsi="Arial"/>
                <w:sz w:val="16"/>
                <w:szCs w:val="16"/>
                <w:color w:val="auto"/>
              </w:rPr>
              <w:t>Israel (fiscal)</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2014-2022</w:t>
            </w:r>
          </w:p>
        </w:tc>
      </w:tr>
      <w:tr>
        <w:trPr>
          <w:trHeight w:val="23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Japan (fiscal)</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2016-2022</w:t>
            </w:r>
          </w:p>
        </w:tc>
      </w:tr>
      <w:tr>
        <w:trPr>
          <w:trHeight w:val="220"/>
        </w:trPr>
        <w:tc>
          <w:tcPr>
            <w:tcW w:w="9800" w:type="dxa"/>
            <w:vAlign w:val="bottom"/>
            <w:gridSpan w:val="2"/>
          </w:tcPr>
          <w:p>
            <w:pPr>
              <w:ind w:left="20"/>
              <w:spacing w:after="0"/>
              <w:rPr>
                <w:sz w:val="20"/>
                <w:szCs w:val="20"/>
                <w:color w:val="auto"/>
              </w:rPr>
            </w:pPr>
            <w:r>
              <w:rPr>
                <w:rFonts w:ascii="Arial" w:cs="Arial" w:eastAsia="Arial" w:hAnsi="Arial"/>
                <w:sz w:val="16"/>
                <w:szCs w:val="16"/>
                <w:color w:val="auto"/>
              </w:rPr>
              <w:t>Malaysia (fiscal)</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2015-2022</w:t>
            </w:r>
          </w:p>
        </w:tc>
      </w:tr>
      <w:tr>
        <w:trPr>
          <w:trHeight w:val="23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Thailand (fiscal)</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2013-2022</w:t>
            </w:r>
          </w:p>
        </w:tc>
      </w:tr>
      <w:tr>
        <w:trPr>
          <w:trHeight w:val="220"/>
        </w:trPr>
        <w:tc>
          <w:tcPr>
            <w:tcW w:w="9800" w:type="dxa"/>
            <w:vAlign w:val="bottom"/>
            <w:gridSpan w:val="2"/>
          </w:tcPr>
          <w:p>
            <w:pPr>
              <w:ind w:left="20"/>
              <w:spacing w:after="0"/>
              <w:rPr>
                <w:sz w:val="20"/>
                <w:szCs w:val="20"/>
                <w:color w:val="auto"/>
              </w:rPr>
            </w:pPr>
            <w:r>
              <w:rPr>
                <w:rFonts w:ascii="Arial" w:cs="Arial" w:eastAsia="Arial" w:hAnsi="Arial"/>
                <w:sz w:val="16"/>
                <w:szCs w:val="16"/>
                <w:color w:val="auto"/>
              </w:rPr>
              <w:t>Singapore (fiscal)</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2019-2022</w:t>
            </w:r>
          </w:p>
        </w:tc>
      </w:tr>
      <w:tr>
        <w:trPr>
          <w:trHeight w:val="23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Kingdom (fiscal)</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2021-2022</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reached a final agreement with the IRS and received notices of deficiency with respect to years 2008 through 2012. In addition,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has tentatively reached a basis for resolving the notices of proposed adjustments with respect to years 2013 through 2015. As of June 30, 2023,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recognized a liability for tax and interest of $753 million related to all years from 2008 through 2015. The Company expects to pay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$523 million in the first quarter of 2024 with respect to years 2008 and 2012 and expect to pay any remaining balance with respect to this matter within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next twelve months.</w:t>
      </w:r>
    </w:p>
    <w:p>
      <w:pPr>
        <w:spacing w:after="0" w:line="9" w:lineRule="exact"/>
        <w:rPr>
          <w:sz w:val="20"/>
          <w:szCs w:val="20"/>
          <w:color w:val="auto"/>
        </w:rPr>
      </w:pPr>
    </w:p>
    <w:p>
      <w:pPr>
        <w:ind w:right="500" w:firstLine="324"/>
        <w:spacing w:after="0" w:line="290" w:lineRule="auto"/>
        <w:rPr>
          <w:sz w:val="20"/>
          <w:szCs w:val="20"/>
          <w:color w:val="auto"/>
        </w:rPr>
      </w:pPr>
      <w:r>
        <w:rPr>
          <w:rFonts w:ascii="Arial" w:cs="Arial" w:eastAsia="Arial" w:hAnsi="Arial"/>
          <w:sz w:val="17"/>
          <w:szCs w:val="17"/>
          <w:color w:val="auto"/>
        </w:rPr>
        <w:t>In connection with settlements for years 2008 through 2015, the Company expects to realize reductions to its mandatory deemed repatriation tax obligations and tax savings from interest deductions in future years aggregating to approximately $160 million to $180 million.</w:t>
      </w:r>
    </w:p>
    <w:p>
      <w:pPr>
        <w:spacing w:after="0" w:line="18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June 30, 2023, with the exception of the tentative settlement with the IRS,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Net Income (Loss) Per Common Share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6"/>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60" w:type="dxa"/>
            <w:vAlign w:val="bottom"/>
            <w:gridSpan w:val="6"/>
          </w:tcPr>
          <w:p>
            <w:pPr>
              <w:jc w:val="right"/>
              <w:ind w:right="99"/>
              <w:spacing w:after="0"/>
              <w:rPr>
                <w:sz w:val="20"/>
                <w:szCs w:val="20"/>
                <w:color w:val="auto"/>
              </w:rPr>
            </w:pPr>
            <w:r>
              <w:rPr>
                <w:rFonts w:ascii="Arial" w:cs="Arial" w:eastAsia="Arial" w:hAnsi="Arial"/>
                <w:sz w:val="14"/>
                <w:szCs w:val="14"/>
                <w:i w:val="1"/>
                <w:iCs w:val="1"/>
                <w:color w:val="auto"/>
              </w:rPr>
              <w:t>(in millions, except per share data)</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13"/>
        </w:trPr>
        <w:tc>
          <w:tcPr>
            <w:tcW w:w="6740" w:type="dxa"/>
            <w:vAlign w:val="bottom"/>
          </w:tcPr>
          <w:p>
            <w:pPr>
              <w:ind w:left="180"/>
              <w:spacing w:after="0"/>
              <w:rPr>
                <w:sz w:val="20"/>
                <w:szCs w:val="20"/>
                <w:color w:val="auto"/>
              </w:rPr>
            </w:pPr>
            <w:r>
              <w:rPr>
                <w:rFonts w:ascii="Arial" w:cs="Arial" w:eastAsia="Arial" w:hAnsi="Arial"/>
                <w:sz w:val="16"/>
                <w:szCs w:val="16"/>
                <w:color w:val="auto"/>
              </w:rPr>
              <w:t>Less: cumulative dividends allocated to preferred shareholders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shareholders</w:t>
            </w:r>
          </w:p>
        </w:tc>
        <w:tc>
          <w:tcPr>
            <w:tcW w:w="880" w:type="dxa"/>
            <w:vAlign w:val="bottom"/>
            <w:tcBorders>
              <w:top w:val="single" w:sz="8" w:color="auto"/>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4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Employee stock options, RSUs, PSUs and ESPP</w:t>
            </w:r>
          </w:p>
        </w:tc>
        <w:tc>
          <w:tcPr>
            <w:tcW w:w="8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8"/>
        </w:trPr>
        <w:tc>
          <w:tcPr>
            <w:tcW w:w="6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(loss) per common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4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Diluted</w:t>
            </w: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potential common shares excluded</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Basic income (loss) per share attributable to common shareholders is computed using (i) net income (loss) less (ii) dividends paid to holders of Preferred Shares less (iii) net income (loss) attributable to participating securities divided by (iv) weighted average basic shares outstanding. Diluted net income (loss) per share attributable to common shareholders is computed as (i) basic net income (loss) attributable to common shareholders plus (ii) diluted adjustments to income allocable to participating securities divided by (iii) weighted average diluted shares outstanding. The “if-converted” method is used to determine the dilutive impact for the shares issuable in connection with the 1.50% convertible notes due 2024 and the convertible preferred stock, and the treasury stock method is used to determine the dilutive impact of outstanding employee stock options, RSUs, PSUs, and rights to purchase shares of common stock under the ESPP.</w:t>
      </w:r>
    </w:p>
    <w:p>
      <w:pPr>
        <w:spacing w:after="0" w:line="216"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For 2023, the Company recorded a net loss and all shares subject to outstanding equity awards were excluded from the calculation of diluted shares for the period because their impact would have been anti-dilutive. For 2022 and 2021, the Company excluded common shares subject to certain outstanding equity awards from the calculation of diluted shares because their impact would have been anti-dilutive based on the Company’s average stock price during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52"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Company periodically incurs charges to realign its operations with anticipated market demand, primarily consisting of organization rationalization designed to streamline its business, reduce its cost structure and focus its resources. The Company may also record credits related to gains upon sale of property in connection with these activities. The Company recognized gains related to the disposition of assets associated with these activities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$8 million, $7 million and $75 million for 2023, 2022 and 2021, respectively. The Company recorded the following charges related to these actions: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80" w:type="dxa"/>
            <w:vAlign w:val="bottom"/>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6"/>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6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termination benefits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741"/>
              <w:spacing w:after="0"/>
              <w:rPr>
                <w:sz w:val="20"/>
                <w:szCs w:val="20"/>
                <w:color w:val="auto"/>
              </w:rPr>
            </w:pPr>
            <w:r>
              <w:rPr>
                <w:rFonts w:ascii="Arial" w:cs="Arial" w:eastAsia="Arial" w:hAnsi="Arial"/>
                <w:sz w:val="16"/>
                <w:szCs w:val="16"/>
                <w:color w:val="auto"/>
                <w:w w:val="89"/>
              </w:rPr>
              <w:t>28</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 impairments and other charges (gains)</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color w:val="auto"/>
                <w:w w:val="98"/>
              </w:rPr>
              <w:t>(75)</w:t>
            </w:r>
          </w:p>
        </w:tc>
      </w:tr>
      <w:tr>
        <w:trPr>
          <w:trHeight w:val="23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employee termination, asset impairment, and other charges</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center"/>
              <w:ind w:left="701"/>
              <w:spacing w:after="0"/>
              <w:rPr>
                <w:sz w:val="20"/>
                <w:szCs w:val="20"/>
                <w:color w:val="auto"/>
              </w:rPr>
            </w:pPr>
            <w:r>
              <w:rPr>
                <w:rFonts w:ascii="Arial" w:cs="Arial" w:eastAsia="Arial" w:hAnsi="Arial"/>
                <w:sz w:val="16"/>
                <w:szCs w:val="16"/>
                <w:color w:val="auto"/>
                <w:w w:val="98"/>
              </w:rPr>
              <w:t>(47)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analysis of the components of these activities against the reserve during the year ended June 30,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Employee Termination</w:t>
            </w:r>
          </w:p>
        </w:tc>
      </w:tr>
      <w:tr>
        <w:trPr>
          <w:trHeight w:val="196"/>
        </w:trPr>
        <w:tc>
          <w:tcPr>
            <w:tcW w:w="9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Benefits</w:t>
            </w:r>
          </w:p>
        </w:tc>
      </w:tr>
      <w:tr>
        <w:trPr>
          <w:trHeight w:val="182"/>
        </w:trPr>
        <w:tc>
          <w:tcPr>
            <w:tcW w:w="9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i w:val="1"/>
                <w:iCs w:val="1"/>
                <w:color w:val="auto"/>
              </w:rPr>
              <w:t>(in millions)</w:t>
            </w:r>
          </w:p>
        </w:tc>
      </w:tr>
      <w:tr>
        <w:trPr>
          <w:trHeight w:val="20"/>
        </w:trPr>
        <w:tc>
          <w:tcPr>
            <w:tcW w:w="9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July 1, 2022</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9720" w:type="dxa"/>
            <w:vAlign w:val="bottom"/>
          </w:tcPr>
          <w:p>
            <w:pPr>
              <w:ind w:left="140"/>
              <w:spacing w:after="0"/>
              <w:rPr>
                <w:sz w:val="20"/>
                <w:szCs w:val="20"/>
                <w:color w:val="auto"/>
              </w:rPr>
            </w:pPr>
            <w:r>
              <w:rPr>
                <w:rFonts w:ascii="Arial" w:cs="Arial" w:eastAsia="Arial" w:hAnsi="Arial"/>
                <w:sz w:val="16"/>
                <w:szCs w:val="16"/>
                <w:color w:val="auto"/>
              </w:rPr>
              <w:t>Charges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6"/>
        </w:trPr>
        <w:tc>
          <w:tcPr>
            <w:tcW w:w="9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2"/>
        </w:trPr>
        <w:tc>
          <w:tcPr>
            <w:tcW w:w="9720" w:type="dxa"/>
            <w:vAlign w:val="bottom"/>
          </w:tcPr>
          <w:p>
            <w:pPr>
              <w:ind w:left="20"/>
              <w:spacing w:after="0"/>
              <w:rPr>
                <w:sz w:val="20"/>
                <w:szCs w:val="20"/>
                <w:color w:val="auto"/>
              </w:rPr>
            </w:pPr>
            <w:r>
              <w:rPr>
                <w:rFonts w:ascii="Arial" w:cs="Arial" w:eastAsia="Arial" w:hAnsi="Arial"/>
                <w:sz w:val="16"/>
                <w:szCs w:val="16"/>
                <w:color w:val="auto"/>
              </w:rPr>
              <w:t>Accrual balance at June 30, 2023</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w:t>
      </w:r>
    </w:p>
    <w:p>
      <w:pPr>
        <w:spacing w:after="0" w:line="23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 xml:space="preserve">For disclosures regarding statutory notices of deficiency issued by the IRS on June 28, 2018 and December 10, 2018, and the status of resolution with respect to certain matters, see Note 14, </w:t>
      </w:r>
      <w:r>
        <w:rPr>
          <w:rFonts w:ascii="Arial" w:cs="Arial" w:eastAsia="Arial" w:hAnsi="Arial"/>
          <w:sz w:val="18"/>
          <w:szCs w:val="18"/>
          <w:i w:val="1"/>
          <w:iCs w:val="1"/>
          <w:color w:val="auto"/>
        </w:rPr>
        <w:t>Income Tax Expense.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ind w:right="260" w:firstLine="324"/>
        <w:spacing w:after="0" w:line="220" w:lineRule="exact"/>
        <w:rPr>
          <w:sz w:val="20"/>
          <w:szCs w:val="20"/>
          <w:color w:val="auto"/>
        </w:rPr>
      </w:pPr>
      <w:r>
        <w:rPr>
          <w:rFonts w:ascii="Arial" w:cs="Arial" w:eastAsia="Arial" w:hAnsi="Arial"/>
          <w:sz w:val="18"/>
          <w:szCs w:val="18"/>
          <w:color w:val="auto"/>
        </w:rPr>
        <w:t>As required by Rule 13a</w:t>
      </w:r>
      <w:r>
        <w:rPr>
          <w:rFonts w:ascii="MS PGothic" w:cs="MS PGothic" w:eastAsia="MS PGothic" w:hAnsi="MS PGothic"/>
          <w:sz w:val="18"/>
          <w:szCs w:val="18"/>
          <w:color w:val="auto"/>
        </w:rPr>
        <w:t>‑</w:t>
      </w:r>
      <w:r>
        <w:rPr>
          <w:rFonts w:ascii="Arial" w:cs="Arial" w:eastAsia="Arial" w:hAnsi="Arial"/>
          <w:sz w:val="18"/>
          <w:szCs w:val="18"/>
          <w:color w:val="auto"/>
        </w:rPr>
        <w:t>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1" w:lineRule="exact"/>
        <w:rPr>
          <w:sz w:val="20"/>
          <w:szCs w:val="20"/>
          <w:color w:val="auto"/>
        </w:rPr>
      </w:pPr>
    </w:p>
    <w:p>
      <w:pPr>
        <w:ind w:right="200" w:firstLine="324"/>
        <w:spacing w:after="0" w:line="223" w:lineRule="exact"/>
        <w:rPr>
          <w:sz w:val="20"/>
          <w:szCs w:val="20"/>
          <w:color w:val="auto"/>
        </w:rPr>
      </w:pPr>
      <w:r>
        <w:rPr>
          <w:rFonts w:ascii="Arial" w:cs="Arial" w:eastAsia="Arial" w:hAnsi="Arial"/>
          <w:sz w:val="18"/>
          <w:szCs w:val="18"/>
          <w:color w:val="auto"/>
        </w:rPr>
        <w:t>Based on that evaluation, our Chief Executive Officer and Chief Financial Officer concluded that,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our disclosure controls and procedures were effective.</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52" w:lineRule="exact"/>
        <w:rPr>
          <w:sz w:val="20"/>
          <w:szCs w:val="20"/>
          <w:color w:val="auto"/>
        </w:rPr>
      </w:pPr>
    </w:p>
    <w:p>
      <w:pPr>
        <w:ind w:right="100" w:firstLine="324"/>
        <w:spacing w:after="0" w:line="218" w:lineRule="exact"/>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231" w:lineRule="exact"/>
        <w:rPr>
          <w:sz w:val="20"/>
          <w:szCs w:val="20"/>
          <w:color w:val="auto"/>
        </w:rPr>
      </w:pPr>
    </w:p>
    <w:p>
      <w:pPr>
        <w:ind w:firstLine="324"/>
        <w:spacing w:after="0" w:line="219" w:lineRule="exact"/>
        <w:rPr>
          <w:sz w:val="20"/>
          <w:szCs w:val="20"/>
          <w:color w:val="auto"/>
        </w:rPr>
      </w:pPr>
      <w:r>
        <w:rPr>
          <w:rFonts w:ascii="Arial" w:cs="Arial" w:eastAsia="Arial" w:hAnsi="Arial"/>
          <w:sz w:val="16"/>
          <w:szCs w:val="16"/>
          <w:color w:val="auto"/>
        </w:rPr>
        <w:t xml:space="preserve">Our management evaluated the effectiveness of our internal control over financial reporting using the criteria set forth by the Committee of Sponsoring Organizations of the Treadway Commission (COSO)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Based on this evaluation, our management concluded that our internal control over financial reporting was effective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KPMG LLP, our independent registered public accounting firm, which audited the Consolidated Financial Statements included in this Annual Report on Form 10-K, has issued an audit report on our internal control over financial reporting. See Report of Independent Registered Public Accounting Firm herein.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ended June 30, 2023, that has materially affected, or is reasonably likely to materially affect, our internal control over financial reporting.</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Inherent Limitations of Effectiveness of Controls</w:t>
      </w:r>
    </w:p>
    <w:p>
      <w:pPr>
        <w:spacing w:after="0" w:line="25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There is incorporated herein by reference the information required by this Item included in the Company’s Proxy Statement for the 2023 Annual Meeting of Stockholders, which will be filed with the SEC no later than 120 days after the close of the year ended June 30, 2023.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Corporate Governance section at </w:t>
      </w:r>
      <w:r>
        <w:rPr>
          <w:rFonts w:ascii="Arial" w:cs="Arial" w:eastAsia="Arial" w:hAnsi="Arial"/>
          <w:sz w:val="18"/>
          <w:szCs w:val="18"/>
          <w:i w:val="1"/>
          <w:iCs w:val="1"/>
          <w:color w:val="auto"/>
        </w:rPr>
        <w:t>www.westerndigital.com</w:t>
      </w:r>
      <w:r>
        <w:rPr>
          <w:rFonts w:ascii="Arial" w:cs="Arial" w:eastAsia="Arial" w:hAnsi="Arial"/>
          <w:sz w:val="18"/>
          <w:szCs w:val="18"/>
          <w:color w:val="auto"/>
        </w:rPr>
        <w:t>. To the extent required by rules adopted by the SEC and The Nasdaq Stock Market LLC, we intend to promptly disclose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amendments to certain provisions of the Code of Business Ethics, or waivers of such provisions granted to executive officers and directors, on our website under the Corporate Governance section at </w:t>
      </w:r>
      <w:r>
        <w:rPr>
          <w:rFonts w:ascii="Arial" w:cs="Arial" w:eastAsia="Arial" w:hAnsi="Arial"/>
          <w:sz w:val="18"/>
          <w:szCs w:val="18"/>
          <w:i w:val="1"/>
          <w:iCs w:val="1"/>
          <w:color w:val="auto"/>
        </w:rPr>
        <w:t>www.westerndigital.com</w:t>
      </w:r>
      <w:r>
        <w:rPr>
          <w:rFonts w:ascii="Arial" w:cs="Arial" w:eastAsia="Arial" w:hAnsi="Arial"/>
          <w:sz w:val="18"/>
          <w:szCs w:val="18"/>
          <w:color w:val="auto"/>
        </w:rPr>
        <w:t>.</w:t>
      </w:r>
    </w:p>
    <w:p>
      <w:pPr>
        <w:spacing w:after="0" w:line="21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6"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2023 Annual Meeting of Stockholders, which will be filed with the SEC no later than 120 days after the close of the year ended June 30, 2023.</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2023 Annual Meeting of Stockholders, which will be filed with the SEC no later than 120 days after the close of the year ended June 30, 2023.</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56"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2023 Annual Meeting of Stockholders, which will be filed with the SEC no later than 120 days after the close of the year ended June 30, 2023.</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56"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2023 Annual Meeting of Stockholders, which will be filed with the SEC no later than 120 days after the close of the year ended June 30, 2023.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56"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The following documents are filed as a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52" w:lineRule="exact"/>
        <w:rPr>
          <w:sz w:val="20"/>
          <w:szCs w:val="20"/>
          <w:color w:val="auto"/>
        </w:rPr>
      </w:pPr>
    </w:p>
    <w:p>
      <w:pPr>
        <w:ind w:left="640" w:hanging="308"/>
        <w:spacing w:after="0" w:line="184" w:lineRule="exact"/>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included in Part II, Item 8 of this document are filed as part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7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52" w:lineRule="exact"/>
        <w:rPr>
          <w:rFonts w:ascii="Arial" w:cs="Arial" w:eastAsia="Arial" w:hAnsi="Arial"/>
          <w:sz w:val="18"/>
          <w:szCs w:val="18"/>
          <w:color w:val="auto"/>
        </w:rPr>
      </w:pPr>
    </w:p>
    <w:p>
      <w:pPr>
        <w:ind w:left="660" w:right="380"/>
        <w:spacing w:after="0" w:line="277" w:lineRule="auto"/>
        <w:rPr>
          <w:rFonts w:ascii="Arial" w:cs="Arial" w:eastAsia="Arial" w:hAnsi="Arial"/>
          <w:sz w:val="18"/>
          <w:szCs w:val="18"/>
          <w:color w:val="auto"/>
        </w:rPr>
      </w:pPr>
      <w:r>
        <w:rPr>
          <w:rFonts w:ascii="Arial" w:cs="Arial" w:eastAsia="Arial" w:hAnsi="Arial"/>
          <w:sz w:val="18"/>
          <w:szCs w:val="18"/>
          <w:color w:val="auto"/>
        </w:rPr>
        <w:t>All schedules are omitted as the required information is immaterial, inapplicable or the information is presented in the Consolidated Financial Statements or related Notes.</w:t>
      </w:r>
    </w:p>
    <w:p>
      <w:pPr>
        <w:spacing w:after="0" w:line="197" w:lineRule="exact"/>
        <w:rPr>
          <w:rFonts w:ascii="Arial" w:cs="Arial" w:eastAsia="Arial" w:hAnsi="Arial"/>
          <w:sz w:val="18"/>
          <w:szCs w:val="18"/>
          <w:color w:val="auto"/>
        </w:rPr>
      </w:pPr>
    </w:p>
    <w:p>
      <w:pPr>
        <w:ind w:left="660" w:hanging="328"/>
        <w:spacing w:after="0" w:line="218" w:lineRule="exact"/>
        <w:tabs>
          <w:tab w:leader="none" w:pos="654"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Exhibits. </w:t>
      </w:r>
      <w:r>
        <w:rPr>
          <w:rFonts w:ascii="Arial" w:cs="Arial" w:eastAsia="Arial" w:hAnsi="Arial"/>
          <w:sz w:val="16"/>
          <w:szCs w:val="16"/>
          <w:color w:val="auto"/>
        </w:rPr>
        <w:t>The exhibits listed in the Exhibit Index below are filed with, or incorporated by reference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as</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the Exhibit List, from exhibits previously filed with the SEC. Certain 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80" w:type="dxa"/>
            <w:vAlign w:val="bottom"/>
            <w:gridSpan w:val="2"/>
          </w:tcPr>
          <w:p>
            <w:pPr>
              <w:ind w:left="3600"/>
              <w:spacing w:after="0"/>
              <w:rPr>
                <w:sz w:val="20"/>
                <w:szCs w:val="20"/>
                <w:color w:val="auto"/>
              </w:rPr>
            </w:pPr>
            <w:r>
              <w:rPr>
                <w:rFonts w:ascii="Arial" w:cs="Arial" w:eastAsia="Arial" w:hAnsi="Arial"/>
                <w:sz w:val="20"/>
                <w:szCs w:val="20"/>
                <w:b w:val="1"/>
                <w:bCs w:val="1"/>
                <w:color w:val="auto"/>
              </w:rPr>
              <w:t>EXHIBIT INDEX</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220" w:type="dxa"/>
            <w:vAlign w:val="bottom"/>
            <w:gridSpan w:val="8"/>
          </w:tcPr>
          <w:p>
            <w:pPr>
              <w:jc w:val="center"/>
              <w:ind w:right="120"/>
              <w:spacing w:after="0" w:line="145" w:lineRule="exact"/>
              <w:rPr>
                <w:sz w:val="20"/>
                <w:szCs w:val="20"/>
                <w:color w:val="auto"/>
              </w:rPr>
            </w:pPr>
            <w:r>
              <w:rPr>
                <w:rFonts w:ascii="Arial" w:cs="Arial" w:eastAsia="Arial" w:hAnsi="Arial"/>
                <w:sz w:val="14"/>
                <w:szCs w:val="14"/>
                <w:b w:val="1"/>
                <w:bCs w:val="1"/>
                <w:color w:val="auto"/>
                <w:w w:val="98"/>
              </w:rPr>
              <w:t>Exhibit</w:t>
            </w:r>
          </w:p>
        </w:tc>
        <w:tc>
          <w:tcPr>
            <w:tcW w:w="9980" w:type="dxa"/>
            <w:vAlign w:val="bottom"/>
            <w:gridSpan w:val="2"/>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22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9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00" w:type="dxa"/>
            <w:vAlign w:val="bottom"/>
            <w:tcBorders>
              <w:top w:val="single" w:sz="8" w:color="auto"/>
            </w:tcBorders>
            <w:gridSpan w:val="5"/>
            <w:shd w:val="clear" w:color="auto" w:fill="CCEEFF"/>
          </w:tcPr>
          <w:p>
            <w:pPr>
              <w:jc w:val="center"/>
              <w:ind w:left="301"/>
              <w:spacing w:after="0" w:line="175" w:lineRule="exact"/>
              <w:rPr>
                <w:rFonts w:ascii="Arial" w:cs="Arial" w:eastAsia="Arial" w:hAnsi="Arial"/>
                <w:sz w:val="16"/>
                <w:szCs w:val="16"/>
                <w:color w:val="0000FF"/>
                <w:w w:val="89"/>
              </w:rPr>
            </w:pPr>
            <w:hyperlink r:id="rId129">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6"/>
                <w:szCs w:val="16"/>
                <w:color w:val="auto"/>
                <w:w w:val="92"/>
              </w:rPr>
              <w:t>Amended and Restated Certificate of Incorporation of Western Digital Corporation, as amended to date (Filed as Exhibit 3.1 to the Company’s Quarterly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Report on Form 10-Q (File No. 1-08703) with the Securities and Exchange Commission on February 8, 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gridSpan w:val="6"/>
          </w:tcPr>
          <w:p>
            <w:pPr>
              <w:jc w:val="center"/>
              <w:ind w:left="339"/>
              <w:spacing w:after="0" w:line="175" w:lineRule="exact"/>
              <w:rPr>
                <w:rFonts w:ascii="Arial" w:cs="Arial" w:eastAsia="Arial" w:hAnsi="Arial"/>
                <w:sz w:val="16"/>
                <w:szCs w:val="16"/>
                <w:color w:val="0000FF"/>
                <w:w w:val="89"/>
              </w:rPr>
            </w:pPr>
            <w:hyperlink r:id="rId130">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4"/>
              </w:rPr>
              <w:t>Certificate of Designations, Preferences and Rights of Series A Convertible Perpetual Preferred Stock (Filed as Exhibit 3.1 to the Company’s Current</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Report on Form 8-K (File No. 1-08703) with the Securities and Exchange Commission on February 1, 2023)</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00" w:type="dxa"/>
            <w:vAlign w:val="bottom"/>
            <w:gridSpan w:val="5"/>
            <w:shd w:val="clear" w:color="auto" w:fill="CCEEFF"/>
          </w:tcPr>
          <w:p>
            <w:pPr>
              <w:jc w:val="center"/>
              <w:ind w:left="301"/>
              <w:spacing w:after="0" w:line="175" w:lineRule="exact"/>
              <w:rPr>
                <w:rFonts w:ascii="Arial" w:cs="Arial" w:eastAsia="Arial" w:hAnsi="Arial"/>
                <w:sz w:val="16"/>
                <w:szCs w:val="16"/>
                <w:color w:val="0000FF"/>
                <w:w w:val="89"/>
              </w:rPr>
            </w:pPr>
            <w:hyperlink r:id="rId131">
              <w:r>
                <w:rPr>
                  <w:rFonts w:ascii="Arial" w:cs="Arial" w:eastAsia="Arial" w:hAnsi="Arial"/>
                  <w:sz w:val="16"/>
                  <w:szCs w:val="16"/>
                  <w:color w:val="0000FF"/>
                  <w:w w:val="89"/>
                </w:rPr>
                <w:t>3.</w:t>
              </w:r>
              <w:r>
                <w:rPr>
                  <w:rFonts w:ascii="Arial" w:cs="Arial" w:eastAsia="Arial" w:hAnsi="Arial"/>
                  <w:sz w:val="16"/>
                  <w:szCs w:val="16"/>
                  <w:u w:val="single" w:color="auto"/>
                  <w:color w:val="0000FF"/>
                  <w:w w:val="89"/>
                </w:rPr>
                <w:t>3</w:t>
              </w:r>
            </w:hyperlink>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3"/>
              </w:rPr>
              <w:t>Amended and Restated By-Laws of Western Digital Corporation, as amended effective as of February 10, 2021 (Filed as Exhibit 3.1 to the Company’s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Current Report on Form 8-K (File No. 1-08703) with the Securities and Exchange Commission on February 12,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gridSpan w:val="6"/>
          </w:tcPr>
          <w:p>
            <w:pPr>
              <w:jc w:val="center"/>
              <w:ind w:left="339"/>
              <w:spacing w:after="0" w:line="175" w:lineRule="exact"/>
              <w:rPr>
                <w:rFonts w:ascii="Arial" w:cs="Arial" w:eastAsia="Arial" w:hAnsi="Arial"/>
                <w:sz w:val="16"/>
                <w:szCs w:val="16"/>
                <w:color w:val="0000FF"/>
                <w:w w:val="89"/>
              </w:rPr>
            </w:pPr>
            <w:hyperlink r:id="rId132">
              <w:r>
                <w:rPr>
                  <w:rFonts w:ascii="Arial" w:cs="Arial" w:eastAsia="Arial" w:hAnsi="Arial"/>
                  <w:sz w:val="16"/>
                  <w:szCs w:val="16"/>
                  <w:color w:val="0000FF"/>
                  <w:w w:val="89"/>
                </w:rPr>
                <w:t>4.</w:t>
              </w:r>
              <w:r>
                <w:rPr>
                  <w:rFonts w:ascii="Arial" w:cs="Arial" w:eastAsia="Arial" w:hAnsi="Arial"/>
                  <w:sz w:val="16"/>
                  <w:szCs w:val="16"/>
                  <w:u w:val="single" w:color="auto"/>
                  <w:color w:val="0000FF"/>
                  <w:w w:val="89"/>
                </w:rPr>
                <w:t>1</w:t>
              </w:r>
            </w:hyperlink>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6"/>
              </w:rPr>
              <w:t>Description of Western Digital Corporation’s Capital Stock (Filed as Exhibit 4.1 to the Company’s Annual Report on Form 10-K (File No. 1-08703)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with the Securities and Exchange Commission on August 27, 2021)</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00" w:type="dxa"/>
            <w:vAlign w:val="bottom"/>
            <w:gridSpan w:val="5"/>
            <w:shd w:val="clear" w:color="auto" w:fill="CCEEFF"/>
          </w:tcPr>
          <w:p>
            <w:pPr>
              <w:jc w:val="center"/>
              <w:ind w:left="301"/>
              <w:spacing w:after="0" w:line="175" w:lineRule="exact"/>
              <w:rPr>
                <w:rFonts w:ascii="Arial" w:cs="Arial" w:eastAsia="Arial" w:hAnsi="Arial"/>
                <w:sz w:val="16"/>
                <w:szCs w:val="16"/>
                <w:color w:val="0000FF"/>
                <w:w w:val="89"/>
              </w:rPr>
            </w:pPr>
            <w:hyperlink r:id="rId133">
              <w:r>
                <w:rPr>
                  <w:rFonts w:ascii="Arial" w:cs="Arial" w:eastAsia="Arial" w:hAnsi="Arial"/>
                  <w:sz w:val="16"/>
                  <w:szCs w:val="16"/>
                  <w:color w:val="0000FF"/>
                  <w:w w:val="89"/>
                </w:rPr>
                <w:t>4.</w:t>
              </w:r>
              <w:r>
                <w:rPr>
                  <w:rFonts w:ascii="Arial" w:cs="Arial" w:eastAsia="Arial" w:hAnsi="Arial"/>
                  <w:sz w:val="16"/>
                  <w:szCs w:val="16"/>
                  <w:u w:val="single" w:color="auto"/>
                  <w:color w:val="0000FF"/>
                  <w:w w:val="89"/>
                </w:rPr>
                <w:t>2</w:t>
              </w:r>
            </w:hyperlink>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5"/>
              </w:rPr>
              <w:t>Indenture (including Form of 4.750% Senior Notes due 2026), dated as of February 13, 2018, among Western Digital Corporation; HGST, Inc., WD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32" w:lineRule="exact"/>
              <w:rPr>
                <w:sz w:val="20"/>
                <w:szCs w:val="20"/>
                <w:color w:val="auto"/>
              </w:rPr>
            </w:pPr>
            <w:r>
              <w:rPr>
                <w:rFonts w:ascii="Arial" w:cs="Arial" w:eastAsia="Arial" w:hAnsi="Arial"/>
                <w:sz w:val="15"/>
                <w:szCs w:val="15"/>
                <w:color w:val="auto"/>
              </w:rPr>
              <w:t>Media, LLC, Western Digital (Fremont), LLC and Western Digital Technologies, Inc., as guarantors; and U.S. Bank National Association, as trustee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3"/>
              </w:rPr>
              <w:t>(Filed as Exhibit 4.1 to the Company’s Current Report on Form 8-K (File No. 333-222762) with the Securities and Exchange Commission on February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0" w:type="dxa"/>
            <w:vAlign w:val="bottom"/>
            <w:gridSpan w:val="6"/>
          </w:tcPr>
          <w:p>
            <w:pPr>
              <w:jc w:val="center"/>
              <w:ind w:left="339"/>
              <w:spacing w:after="0" w:line="175" w:lineRule="exact"/>
              <w:rPr>
                <w:rFonts w:ascii="Arial" w:cs="Arial" w:eastAsia="Arial" w:hAnsi="Arial"/>
                <w:sz w:val="16"/>
                <w:szCs w:val="16"/>
                <w:color w:val="0000FF"/>
                <w:w w:val="89"/>
              </w:rPr>
            </w:pPr>
            <w:hyperlink r:id="rId134">
              <w:r>
                <w:rPr>
                  <w:rFonts w:ascii="Arial" w:cs="Arial" w:eastAsia="Arial" w:hAnsi="Arial"/>
                  <w:sz w:val="16"/>
                  <w:szCs w:val="16"/>
                  <w:color w:val="0000FF"/>
                  <w:w w:val="89"/>
                </w:rPr>
                <w:t>4.</w:t>
              </w:r>
              <w:r>
                <w:rPr>
                  <w:rFonts w:ascii="Arial" w:cs="Arial" w:eastAsia="Arial" w:hAnsi="Arial"/>
                  <w:sz w:val="16"/>
                  <w:szCs w:val="16"/>
                  <w:u w:val="single" w:color="auto"/>
                  <w:color w:val="0000FF"/>
                  <w:w w:val="89"/>
                </w:rPr>
                <w:t>3</w:t>
              </w:r>
            </w:hyperlink>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5"/>
              </w:rPr>
              <w:t>First Supplemental Indenture, dated as of June 20, 2023, by and among Western Digital Technologies, Inc. and U.S. Bank Trust Company, National</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80" w:type="dxa"/>
            <w:vAlign w:val="bottom"/>
            <w:gridSpan w:val="2"/>
          </w:tcPr>
          <w:p>
            <w:pPr>
              <w:ind w:left="20"/>
              <w:spacing w:after="0" w:line="132" w:lineRule="exact"/>
              <w:rPr>
                <w:sz w:val="20"/>
                <w:szCs w:val="20"/>
                <w:color w:val="auto"/>
              </w:rPr>
            </w:pPr>
            <w:r>
              <w:rPr>
                <w:rFonts w:ascii="Arial" w:cs="Arial" w:eastAsia="Arial" w:hAnsi="Arial"/>
                <w:sz w:val="15"/>
                <w:szCs w:val="15"/>
                <w:color w:val="auto"/>
              </w:rPr>
              <w:t>Association, as Trustee (Filed as Exhibit 10.8 to the Company’s Current Report on Form 8-K (File No. 1-08703) with the Securities and Exchange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rPr>
              <w:t>Commission on June 21, 2023)</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700" w:type="dxa"/>
            <w:vAlign w:val="bottom"/>
            <w:gridSpan w:val="5"/>
            <w:shd w:val="clear" w:color="auto" w:fill="CCEEFF"/>
          </w:tcPr>
          <w:p>
            <w:pPr>
              <w:jc w:val="center"/>
              <w:ind w:left="301"/>
              <w:spacing w:after="0" w:line="178" w:lineRule="exact"/>
              <w:rPr>
                <w:rFonts w:ascii="Arial" w:cs="Arial" w:eastAsia="Arial" w:hAnsi="Arial"/>
                <w:sz w:val="16"/>
                <w:szCs w:val="16"/>
                <w:color w:val="0000FF"/>
                <w:w w:val="89"/>
              </w:rPr>
            </w:pPr>
            <w:hyperlink r:id="rId135">
              <w:r>
                <w:rPr>
                  <w:rFonts w:ascii="Arial" w:cs="Arial" w:eastAsia="Arial" w:hAnsi="Arial"/>
                  <w:sz w:val="16"/>
                  <w:szCs w:val="16"/>
                  <w:color w:val="0000FF"/>
                  <w:w w:val="89"/>
                </w:rPr>
                <w:t>4.</w:t>
              </w:r>
              <w:r>
                <w:rPr>
                  <w:rFonts w:ascii="Arial" w:cs="Arial" w:eastAsia="Arial" w:hAnsi="Arial"/>
                  <w:sz w:val="16"/>
                  <w:szCs w:val="16"/>
                  <w:u w:val="single" w:color="auto"/>
                  <w:color w:val="0000FF"/>
                  <w:w w:val="89"/>
                </w:rPr>
                <w:t>4</w:t>
              </w:r>
            </w:hyperlink>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w w:val="94"/>
              </w:rPr>
              <w:t>Indenture (including Form of 1.50% Convertible Senior Notes due 2024), dated as of February 13, 2018, among Western Digital Corporation; HGST,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32" w:lineRule="exact"/>
              <w:rPr>
                <w:sz w:val="20"/>
                <w:szCs w:val="20"/>
                <w:color w:val="auto"/>
              </w:rPr>
            </w:pPr>
            <w:r>
              <w:rPr>
                <w:rFonts w:ascii="Arial" w:cs="Arial" w:eastAsia="Arial" w:hAnsi="Arial"/>
                <w:sz w:val="15"/>
                <w:szCs w:val="15"/>
                <w:color w:val="auto"/>
              </w:rPr>
              <w:t>Inc., WD Media, LLC, Western Digital (Fremont), LLC and Western Digital Technologies, Inc., as guarantors; and U.S. Bank National Association, as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5"/>
              </w:rPr>
              <w:t>trustee (Filed as Exhibit 4.2 to the Company’s Current Report on Form 8-K (File No. 333-222762) with the Securities and Exchange Commission 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13,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gridSpan w:val="6"/>
          </w:tcPr>
          <w:p>
            <w:pPr>
              <w:jc w:val="center"/>
              <w:ind w:left="339"/>
              <w:spacing w:after="0" w:line="175" w:lineRule="exact"/>
              <w:rPr>
                <w:rFonts w:ascii="Arial" w:cs="Arial" w:eastAsia="Arial" w:hAnsi="Arial"/>
                <w:sz w:val="16"/>
                <w:szCs w:val="16"/>
                <w:color w:val="0000FF"/>
                <w:w w:val="89"/>
              </w:rPr>
            </w:pPr>
            <w:hyperlink r:id="rId136">
              <w:r>
                <w:rPr>
                  <w:rFonts w:ascii="Arial" w:cs="Arial" w:eastAsia="Arial" w:hAnsi="Arial"/>
                  <w:sz w:val="16"/>
                  <w:szCs w:val="16"/>
                  <w:color w:val="0000FF"/>
                  <w:w w:val="89"/>
                </w:rPr>
                <w:t>4.</w:t>
              </w:r>
              <w:r>
                <w:rPr>
                  <w:rFonts w:ascii="Arial" w:cs="Arial" w:eastAsia="Arial" w:hAnsi="Arial"/>
                  <w:sz w:val="16"/>
                  <w:szCs w:val="16"/>
                  <w:u w:val="single" w:color="auto"/>
                  <w:color w:val="0000FF"/>
                  <w:w w:val="89"/>
                </w:rPr>
                <w:t>5</w:t>
              </w:r>
            </w:hyperlink>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3"/>
              </w:rPr>
              <w:t>First Supplemental Indenture, dated as of June 30, 2022, by and between Western Digital Corporation and U.S. Bank National Association, as trustee</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83" w:lineRule="exact"/>
              <w:rPr>
                <w:sz w:val="20"/>
                <w:szCs w:val="20"/>
                <w:color w:val="auto"/>
              </w:rPr>
            </w:pPr>
            <w:r>
              <w:rPr>
                <w:rFonts w:ascii="Arial" w:cs="Arial" w:eastAsia="Arial" w:hAnsi="Arial"/>
                <w:sz w:val="16"/>
                <w:szCs w:val="16"/>
                <w:color w:val="auto"/>
                <w:w w:val="93"/>
              </w:rPr>
              <w:t>(Filed as Exhibit 4.1 to the Company’s Current Report on Form 8-K (File No. 1-08703) with the Securities and Exchange Commission on July 1, 2022)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00" w:type="dxa"/>
            <w:vAlign w:val="bottom"/>
            <w:gridSpan w:val="5"/>
            <w:shd w:val="clear" w:color="auto" w:fill="CCEEFF"/>
          </w:tcPr>
          <w:p>
            <w:pPr>
              <w:jc w:val="center"/>
              <w:ind w:left="301"/>
              <w:spacing w:after="0" w:line="175" w:lineRule="exact"/>
              <w:rPr>
                <w:rFonts w:ascii="Arial" w:cs="Arial" w:eastAsia="Arial" w:hAnsi="Arial"/>
                <w:sz w:val="16"/>
                <w:szCs w:val="16"/>
                <w:color w:val="0000FF"/>
                <w:w w:val="89"/>
              </w:rPr>
            </w:pPr>
            <w:hyperlink r:id="rId137">
              <w:r>
                <w:rPr>
                  <w:rFonts w:ascii="Arial" w:cs="Arial" w:eastAsia="Arial" w:hAnsi="Arial"/>
                  <w:sz w:val="16"/>
                  <w:szCs w:val="16"/>
                  <w:color w:val="0000FF"/>
                  <w:w w:val="89"/>
                </w:rPr>
                <w:t>4.</w:t>
              </w:r>
              <w:r>
                <w:rPr>
                  <w:rFonts w:ascii="Arial" w:cs="Arial" w:eastAsia="Arial" w:hAnsi="Arial"/>
                  <w:sz w:val="16"/>
                  <w:szCs w:val="16"/>
                  <w:u w:val="single" w:color="auto"/>
                  <w:color w:val="0000FF"/>
                  <w:w w:val="89"/>
                </w:rPr>
                <w:t>6</w:t>
              </w:r>
            </w:hyperlink>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2"/>
              </w:rPr>
              <w:t>Indenture, dated as of December 10, 2021, between Western Digital Corporation and U.S. Bank National Association, as trustee (Filed as Exhibit 4.1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 Company’s Current Report on Form 8-K (File No. 1-08703) with the Securities and Exchange Commission on December 10,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40" w:type="dxa"/>
            <w:vAlign w:val="bottom"/>
            <w:gridSpan w:val="6"/>
          </w:tcPr>
          <w:p>
            <w:pPr>
              <w:jc w:val="center"/>
              <w:ind w:left="339"/>
              <w:spacing w:after="0" w:line="175" w:lineRule="exact"/>
              <w:rPr>
                <w:rFonts w:ascii="Arial" w:cs="Arial" w:eastAsia="Arial" w:hAnsi="Arial"/>
                <w:sz w:val="16"/>
                <w:szCs w:val="16"/>
                <w:color w:val="0000FF"/>
                <w:w w:val="89"/>
              </w:rPr>
            </w:pPr>
            <w:hyperlink r:id="rId138">
              <w:r>
                <w:rPr>
                  <w:rFonts w:ascii="Arial" w:cs="Arial" w:eastAsia="Arial" w:hAnsi="Arial"/>
                  <w:sz w:val="16"/>
                  <w:szCs w:val="16"/>
                  <w:color w:val="0000FF"/>
                  <w:w w:val="89"/>
                </w:rPr>
                <w:t>4.</w:t>
              </w:r>
              <w:r>
                <w:rPr>
                  <w:rFonts w:ascii="Arial" w:cs="Arial" w:eastAsia="Arial" w:hAnsi="Arial"/>
                  <w:sz w:val="16"/>
                  <w:szCs w:val="16"/>
                  <w:u w:val="single" w:color="auto"/>
                  <w:color w:val="0000FF"/>
                  <w:w w:val="89"/>
                </w:rPr>
                <w:t>7</w:t>
              </w:r>
            </w:hyperlink>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1"/>
              </w:rPr>
              <w:t>First Supplemental Indenture (including Form of 2.850% Senior Notes due 2029 and Form of 3.100% Senior Notes due 2032), dated as of December 10,</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73" w:lineRule="exact"/>
              <w:rPr>
                <w:sz w:val="20"/>
                <w:szCs w:val="20"/>
                <w:color w:val="auto"/>
              </w:rPr>
            </w:pPr>
            <w:r>
              <w:rPr>
                <w:rFonts w:ascii="Arial" w:cs="Arial" w:eastAsia="Arial" w:hAnsi="Arial"/>
                <w:sz w:val="16"/>
                <w:szCs w:val="16"/>
                <w:color w:val="auto"/>
                <w:w w:val="94"/>
              </w:rPr>
              <w:t>2021, between Western Digital Corporation and U.S. Bank National Association, as trustee (Filed as Exhibit 4.2 to the Company’s Current Report on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rPr>
              <w:t>Form 8-K (File No. 1-08703) with the Securities and Exchange Commission on December 10, 2021)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00" w:type="dxa"/>
            <w:vAlign w:val="bottom"/>
            <w:gridSpan w:val="5"/>
            <w:shd w:val="clear" w:color="auto" w:fill="CCEEFF"/>
          </w:tcPr>
          <w:p>
            <w:pPr>
              <w:jc w:val="center"/>
              <w:ind w:left="321"/>
              <w:spacing w:after="0"/>
              <w:rPr>
                <w:rFonts w:ascii="Arial" w:cs="Arial" w:eastAsia="Arial" w:hAnsi="Arial"/>
                <w:sz w:val="16"/>
                <w:szCs w:val="16"/>
                <w:color w:val="0000FF"/>
                <w:w w:val="96"/>
              </w:rPr>
            </w:pPr>
            <w:hyperlink r:id="rId139">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Western Digital Corporation Amended and Restated 2017 Performance Incentive Plan, amended and restated as of August 11, 2020 (Filed as Exhibit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w w:val="97"/>
              </w:rPr>
              <w:t>10.1 to the Company’s Quarterly Report on Form 10-Q (File No. 1-08703) with the Securities and Exchange Commission on February 9,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gridSpan w:val="8"/>
          </w:tcPr>
          <w:p>
            <w:pPr>
              <w:jc w:val="center"/>
              <w:spacing w:after="0" w:line="175" w:lineRule="exact"/>
              <w:rPr>
                <w:rFonts w:ascii="Arial" w:cs="Arial" w:eastAsia="Arial" w:hAnsi="Arial"/>
                <w:sz w:val="16"/>
                <w:szCs w:val="16"/>
                <w:color w:val="0000FF"/>
                <w:w w:val="94"/>
              </w:rPr>
            </w:pPr>
            <w:hyperlink r:id="rId140">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1.1</w:t>
              </w:r>
            </w:hyperlink>
          </w:p>
        </w:tc>
        <w:tc>
          <w:tcPr>
            <w:tcW w:w="100" w:type="dxa"/>
            <w:vAlign w:val="bottom"/>
          </w:tcPr>
          <w:p>
            <w:pPr>
              <w:spacing w:after="0"/>
              <w:rPr>
                <w:sz w:val="15"/>
                <w:szCs w:val="15"/>
                <w:color w:val="auto"/>
              </w:rPr>
            </w:pPr>
          </w:p>
        </w:tc>
        <w:tc>
          <w:tcPr>
            <w:tcW w:w="998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5"/>
              </w:rPr>
              <w:t>Form of Notice of Grant of Performance Stock Units and Performance Stock Unit Award Agreement – Financial Measures, under the Amended and</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w w:val="94"/>
              </w:rPr>
              <w:t>Restated Western Digital Corporation 2017 Performance Incentive Plan (Filed as Exhibit 10.2 to the Company’s Quarterly Report on Form 10-Q (File</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rPr>
              <w:t>No. 1-08703) with the Securities and Exchange Commission on February 9, 2021)*</w:t>
            </w:r>
          </w:p>
        </w:tc>
        <w:tc>
          <w:tcPr>
            <w:tcW w:w="0" w:type="dxa"/>
            <w:vAlign w:val="bottom"/>
          </w:tcPr>
          <w:p>
            <w:pPr>
              <w:spacing w:after="0"/>
              <w:rPr>
                <w:sz w:val="1"/>
                <w:szCs w:val="1"/>
                <w:color w:val="auto"/>
              </w:rPr>
            </w:pPr>
          </w:p>
        </w:tc>
      </w:tr>
      <w:tr>
        <w:trPr>
          <w:trHeight w:val="33"/>
        </w:trPr>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120" w:type="dxa"/>
            <w:vAlign w:val="bottom"/>
            <w:gridSpan w:val="7"/>
            <w:shd w:val="clear" w:color="auto" w:fill="CCEEFF"/>
          </w:tcPr>
          <w:p>
            <w:pPr>
              <w:jc w:val="center"/>
              <w:ind w:right="20"/>
              <w:spacing w:after="0" w:line="175" w:lineRule="exact"/>
              <w:rPr>
                <w:rFonts w:ascii="Arial" w:cs="Arial" w:eastAsia="Arial" w:hAnsi="Arial"/>
                <w:sz w:val="16"/>
                <w:szCs w:val="16"/>
                <w:color w:val="0000FF"/>
                <w:w w:val="94"/>
              </w:rPr>
            </w:pPr>
            <w:hyperlink r:id="rId140">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1.2</w:t>
              </w:r>
            </w:hyperlink>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2"/>
              </w:rPr>
              <w:t>Form of Notice of Grant of Performance Stock Units and Performance Stock Unit Award Agreement – TSR Measure, under the Amended and Restated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6"/>
              </w:rPr>
              <w:t>Western Digital Corporation 2017 Performance Incentive Plan (Filed as Exhibit 10.2 to the Company’s Quarterly Report on Form 10-Q (File No. 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08703) with the Securities and Exchange Commission on February 9,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gridSpan w:val="8"/>
          </w:tcPr>
          <w:p>
            <w:pPr>
              <w:jc w:val="center"/>
              <w:spacing w:after="0" w:line="175" w:lineRule="exact"/>
              <w:rPr>
                <w:rFonts w:ascii="Arial" w:cs="Arial" w:eastAsia="Arial" w:hAnsi="Arial"/>
                <w:sz w:val="16"/>
                <w:szCs w:val="16"/>
                <w:color w:val="0000FF"/>
                <w:w w:val="94"/>
              </w:rPr>
            </w:pPr>
            <w:hyperlink r:id="rId141">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1.3</w:t>
              </w:r>
            </w:hyperlink>
          </w:p>
        </w:tc>
        <w:tc>
          <w:tcPr>
            <w:tcW w:w="100" w:type="dxa"/>
            <w:vAlign w:val="bottom"/>
          </w:tcPr>
          <w:p>
            <w:pPr>
              <w:spacing w:after="0"/>
              <w:rPr>
                <w:sz w:val="15"/>
                <w:szCs w:val="15"/>
                <w:color w:val="auto"/>
              </w:rPr>
            </w:pPr>
          </w:p>
        </w:tc>
        <w:tc>
          <w:tcPr>
            <w:tcW w:w="998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5"/>
              </w:rPr>
              <w:t>Form of Notice and Grant of Performance Stock Units and Performance Stock Unit Award Agreement- Financial Measure, under the Amended and</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73" w:lineRule="exact"/>
              <w:rPr>
                <w:sz w:val="20"/>
                <w:szCs w:val="20"/>
                <w:color w:val="auto"/>
              </w:rPr>
            </w:pPr>
            <w:r>
              <w:rPr>
                <w:rFonts w:ascii="Arial" w:cs="Arial" w:eastAsia="Arial" w:hAnsi="Arial"/>
                <w:sz w:val="16"/>
                <w:szCs w:val="16"/>
                <w:color w:val="auto"/>
                <w:w w:val="94"/>
              </w:rPr>
              <w:t>Restated Western Digital Corporation 2017 Performance Incentive Plan (Filed as Exhibit 10.1 to the Company’s Quarterly Report on Form 10-Q (File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rPr>
              <w:t>No. 1-08703) with the Securities and Exchange Commission on November 4, 2021)*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120" w:type="dxa"/>
            <w:vAlign w:val="bottom"/>
            <w:gridSpan w:val="7"/>
            <w:shd w:val="clear" w:color="auto" w:fill="CCEEFF"/>
          </w:tcPr>
          <w:p>
            <w:pPr>
              <w:jc w:val="center"/>
              <w:ind w:right="20"/>
              <w:spacing w:after="0"/>
              <w:rPr>
                <w:rFonts w:ascii="Arial" w:cs="Arial" w:eastAsia="Arial" w:hAnsi="Arial"/>
                <w:sz w:val="16"/>
                <w:szCs w:val="16"/>
                <w:color w:val="0000FF"/>
                <w:w w:val="94"/>
              </w:rPr>
            </w:pPr>
            <w:hyperlink r:id="rId142">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1.4</w:t>
              </w:r>
            </w:hyperlink>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Form of Notice and Grant of Performance Stock Units and Performance Stock Unit Award Agreement- TSR Measure, under the Amended and Restated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6"/>
              </w:rPr>
              <w:t>Western Digital Corporation 2017 Performance Incentive Plan (Filed as Exhibit 10.2 to the Company’s Quarterly Report on Form 10-Q (File No. 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08703) with the Securities and Exchange Commission on November 4,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gridSpan w:val="8"/>
          </w:tcPr>
          <w:p>
            <w:pPr>
              <w:jc w:val="center"/>
              <w:spacing w:after="0" w:line="175" w:lineRule="exact"/>
              <w:rPr>
                <w:rFonts w:ascii="Arial" w:cs="Arial" w:eastAsia="Arial" w:hAnsi="Arial"/>
                <w:sz w:val="16"/>
                <w:szCs w:val="16"/>
                <w:color w:val="0000FF"/>
                <w:w w:val="94"/>
              </w:rPr>
            </w:pPr>
            <w:hyperlink r:id="rId143">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1.5</w:t>
              </w:r>
            </w:hyperlink>
          </w:p>
        </w:tc>
        <w:tc>
          <w:tcPr>
            <w:tcW w:w="100" w:type="dxa"/>
            <w:vAlign w:val="bottom"/>
          </w:tcPr>
          <w:p>
            <w:pPr>
              <w:spacing w:after="0"/>
              <w:rPr>
                <w:sz w:val="15"/>
                <w:szCs w:val="15"/>
                <w:color w:val="auto"/>
              </w:rPr>
            </w:pPr>
          </w:p>
        </w:tc>
        <w:tc>
          <w:tcPr>
            <w:tcW w:w="998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4"/>
              </w:rPr>
              <w:t>Western Digital Corporation Amended and Restated 2017 Performance Incentive Plan Non-Employee Director Restricted Stock Unit Grant Program,</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73" w:lineRule="exact"/>
              <w:rPr>
                <w:sz w:val="20"/>
                <w:szCs w:val="20"/>
                <w:color w:val="auto"/>
              </w:rPr>
            </w:pPr>
            <w:r>
              <w:rPr>
                <w:rFonts w:ascii="Arial" w:cs="Arial" w:eastAsia="Arial" w:hAnsi="Arial"/>
                <w:sz w:val="16"/>
                <w:szCs w:val="16"/>
                <w:color w:val="auto"/>
                <w:w w:val="97"/>
              </w:rPr>
              <w:t>amended and restated as of August 16, 2021 (Filed as Exhibit 10.4 to the Company’s Quarterly Report on Form 10-Q (File No. 1-08703) with the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rPr>
              <w:t>Securities and Exchange Commission on November 4, 2021)*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120" w:type="dxa"/>
            <w:vAlign w:val="bottom"/>
            <w:gridSpan w:val="7"/>
            <w:shd w:val="clear" w:color="auto" w:fill="CCEEFF"/>
          </w:tcPr>
          <w:p>
            <w:pPr>
              <w:jc w:val="center"/>
              <w:ind w:right="20"/>
              <w:spacing w:after="0"/>
              <w:rPr>
                <w:rFonts w:ascii="Arial" w:cs="Arial" w:eastAsia="Arial" w:hAnsi="Arial"/>
                <w:sz w:val="16"/>
                <w:szCs w:val="16"/>
                <w:color w:val="0000FF"/>
                <w:w w:val="94"/>
              </w:rPr>
            </w:pPr>
            <w:hyperlink r:id="rId144">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1.6</w:t>
              </w:r>
            </w:hyperlink>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Form of Notice of Grant of Restricted Stock Units and Restricted Stock Unit Award Agreement - Vice President and Above under the Western Digital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6"/>
              </w:rPr>
              <w:t>Corporation 2017 Performance Incentive Plan (Filed as Exhibit 10.3 to the Company’s Quarterly Report on Form 10-Q (File No. 1-08703) with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and Exchange Commission on November 6, 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gridSpan w:val="8"/>
          </w:tcPr>
          <w:p>
            <w:pPr>
              <w:jc w:val="center"/>
              <w:spacing w:after="0" w:line="175" w:lineRule="exact"/>
              <w:rPr>
                <w:rFonts w:ascii="Arial" w:cs="Arial" w:eastAsia="Arial" w:hAnsi="Arial"/>
                <w:sz w:val="16"/>
                <w:szCs w:val="16"/>
                <w:color w:val="0000FF"/>
                <w:w w:val="94"/>
              </w:rPr>
            </w:pPr>
            <w:hyperlink r:id="rId145">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1.7</w:t>
              </w:r>
            </w:hyperlink>
          </w:p>
        </w:tc>
        <w:tc>
          <w:tcPr>
            <w:tcW w:w="100" w:type="dxa"/>
            <w:vAlign w:val="bottom"/>
          </w:tcPr>
          <w:p>
            <w:pPr>
              <w:spacing w:after="0"/>
              <w:rPr>
                <w:sz w:val="15"/>
                <w:szCs w:val="15"/>
                <w:color w:val="auto"/>
              </w:rPr>
            </w:pPr>
          </w:p>
        </w:tc>
        <w:tc>
          <w:tcPr>
            <w:tcW w:w="998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4"/>
              </w:rPr>
              <w:t>Form of Notice of Grant of Restricted Stock Units and Restricted Stock Unit Award Agreement - Vice President and Above under the Western Digital</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73" w:lineRule="exact"/>
              <w:rPr>
                <w:sz w:val="20"/>
                <w:szCs w:val="20"/>
                <w:color w:val="auto"/>
              </w:rPr>
            </w:pPr>
            <w:r>
              <w:rPr>
                <w:rFonts w:ascii="Arial" w:cs="Arial" w:eastAsia="Arial" w:hAnsi="Arial"/>
                <w:sz w:val="16"/>
                <w:szCs w:val="16"/>
                <w:color w:val="auto"/>
                <w:w w:val="96"/>
              </w:rPr>
              <w:t>Corporation 2017 Performance Incentive Plan (Filed as Exhibit 10.3 to the Company’s Quarterly Report on Form 10-Q (File No. 1-08703) with the</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rPr>
              <w:t>Securities and Exchange Commission on November 12, 2019)*</w:t>
            </w:r>
          </w:p>
        </w:tc>
        <w:tc>
          <w:tcPr>
            <w:tcW w:w="0" w:type="dxa"/>
            <w:vAlign w:val="bottom"/>
          </w:tcPr>
          <w:p>
            <w:pPr>
              <w:spacing w:after="0"/>
              <w:rPr>
                <w:sz w:val="1"/>
                <w:szCs w:val="1"/>
                <w:color w:val="auto"/>
              </w:rPr>
            </w:pPr>
          </w:p>
        </w:tc>
      </w:tr>
      <w:tr>
        <w:trPr>
          <w:trHeight w:val="911"/>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60" w:type="dxa"/>
            <w:vAlign w:val="bottom"/>
          </w:tcPr>
          <w:p>
            <w:pPr>
              <w:ind w:left="424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92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996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2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0" w:type="dxa"/>
            <w:vAlign w:val="bottom"/>
            <w:tcBorders>
              <w:top w:val="single" w:sz="8" w:color="auto"/>
            </w:tcBorders>
            <w:gridSpan w:val="8"/>
            <w:shd w:val="clear" w:color="auto" w:fill="CCEEFF"/>
          </w:tcPr>
          <w:p>
            <w:pPr>
              <w:jc w:val="center"/>
              <w:ind w:left="219"/>
              <w:spacing w:after="0" w:line="175" w:lineRule="exact"/>
              <w:rPr>
                <w:rFonts w:ascii="Arial" w:cs="Arial" w:eastAsia="Arial" w:hAnsi="Arial"/>
                <w:sz w:val="16"/>
                <w:szCs w:val="16"/>
                <w:color w:val="0000FF"/>
                <w:w w:val="94"/>
              </w:rPr>
            </w:pPr>
            <w:hyperlink r:id="rId148">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1.8</w:t>
              </w:r>
            </w:hyperlink>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6"/>
                <w:szCs w:val="16"/>
                <w:color w:val="auto"/>
                <w:w w:val="94"/>
              </w:rPr>
              <w:t>Form of Notice of Grant of Restricted Stock Units and Restricted Stock Unit Award Agreement – Vice President and Above, under the Amended and</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3"/>
              </w:rPr>
              <w:t>Restated Western Digital Corporation 2017 Performance Incentive Plan (Filed as Exhibit 10.4 to the Company’s Quarterly Report on Form 10-Q (Filed</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 1-08703) with the Securities and Exchange Commission on February 9, 2021)*</w:t>
            </w:r>
          </w:p>
        </w:tc>
        <w:tc>
          <w:tcPr>
            <w:tcW w:w="0" w:type="dxa"/>
            <w:vAlign w:val="bottom"/>
          </w:tcPr>
          <w:p>
            <w:pPr>
              <w:spacing w:after="0"/>
              <w:rPr>
                <w:sz w:val="1"/>
                <w:szCs w:val="1"/>
                <w:color w:val="auto"/>
              </w:rPr>
            </w:pPr>
          </w:p>
        </w:tc>
      </w:tr>
      <w:tr>
        <w:trPr>
          <w:trHeight w:val="175"/>
        </w:trPr>
        <w:tc>
          <w:tcPr>
            <w:tcW w:w="800" w:type="dxa"/>
            <w:vAlign w:val="bottom"/>
            <w:gridSpan w:val="8"/>
          </w:tcPr>
          <w:p>
            <w:pPr>
              <w:jc w:val="center"/>
              <w:ind w:left="219"/>
              <w:spacing w:after="0" w:line="175" w:lineRule="exact"/>
              <w:rPr>
                <w:rFonts w:ascii="Arial" w:cs="Arial" w:eastAsia="Arial" w:hAnsi="Arial"/>
                <w:sz w:val="16"/>
                <w:szCs w:val="16"/>
                <w:color w:val="0000FF"/>
                <w:w w:val="94"/>
              </w:rPr>
            </w:pPr>
            <w:hyperlink r:id="rId149">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1.9</w:t>
              </w:r>
            </w:hyperlink>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5"/>
              </w:rPr>
              <w:t>Form of Notice of Grant of Restricted Stock Units and Restricted Stock Unit Award Agreement - Vice President and Above, under the Amended and</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4"/>
              </w:rPr>
              <w:t>Restated Western Digital Corporation 2017 Performance Incentive Plan (Filed as Exhibit 10.3 to the Company’s Quarterly Report on Form 10-Q (File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No. 1-08703) with the Securities and Exchange Commission on November 4, 2021)*</w:t>
            </w:r>
          </w:p>
        </w:tc>
        <w:tc>
          <w:tcPr>
            <w:tcW w:w="0" w:type="dxa"/>
            <w:vAlign w:val="bottom"/>
          </w:tcPr>
          <w:p>
            <w:pPr>
              <w:spacing w:after="0"/>
              <w:rPr>
                <w:sz w:val="1"/>
                <w:szCs w:val="1"/>
                <w:color w:val="auto"/>
              </w:rPr>
            </w:pPr>
          </w:p>
        </w:tc>
      </w:tr>
      <w:tr>
        <w:trPr>
          <w:trHeight w:val="185"/>
        </w:trPr>
        <w:tc>
          <w:tcPr>
            <w:tcW w:w="800" w:type="dxa"/>
            <w:vAlign w:val="bottom"/>
            <w:gridSpan w:val="8"/>
            <w:shd w:val="clear" w:color="auto" w:fill="CCEEFF"/>
          </w:tcPr>
          <w:p>
            <w:pPr>
              <w:jc w:val="center"/>
              <w:ind w:left="219"/>
              <w:spacing w:after="0"/>
              <w:rPr>
                <w:rFonts w:ascii="Arial" w:cs="Arial" w:eastAsia="Arial" w:hAnsi="Arial"/>
                <w:sz w:val="16"/>
                <w:szCs w:val="16"/>
                <w:color w:val="0000FF"/>
                <w:w w:val="93"/>
              </w:rPr>
            </w:pPr>
            <w:hyperlink r:id="rId143">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1.10</w:t>
              </w:r>
            </w:hyperlink>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 of Notice of Grant of Restricted Stock Units and Restricted Stock Unit Award Agreement under the Western Digital Corporation 2017</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8"/>
              </w:rPr>
              <w:t>Performance Incentive Plan (Filed as Exhibit 10.4 to the Company’s Quarterly Report on Form 10-Q (File No. 1-08703) with the Securities and</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Commission on November 6, 2018)*</w:t>
            </w:r>
          </w:p>
        </w:tc>
        <w:tc>
          <w:tcPr>
            <w:tcW w:w="0" w:type="dxa"/>
            <w:vAlign w:val="bottom"/>
          </w:tcPr>
          <w:p>
            <w:pPr>
              <w:spacing w:after="0"/>
              <w:rPr>
                <w:sz w:val="1"/>
                <w:szCs w:val="1"/>
                <w:color w:val="auto"/>
              </w:rPr>
            </w:pPr>
          </w:p>
        </w:tc>
      </w:tr>
      <w:tr>
        <w:trPr>
          <w:trHeight w:val="176"/>
        </w:trPr>
        <w:tc>
          <w:tcPr>
            <w:tcW w:w="700" w:type="dxa"/>
            <w:vAlign w:val="bottom"/>
            <w:gridSpan w:val="5"/>
          </w:tcPr>
          <w:p>
            <w:pPr>
              <w:jc w:val="center"/>
              <w:ind w:left="319"/>
              <w:spacing w:after="0" w:line="175" w:lineRule="exact"/>
              <w:rPr>
                <w:rFonts w:ascii="Arial" w:cs="Arial" w:eastAsia="Arial" w:hAnsi="Arial"/>
                <w:sz w:val="16"/>
                <w:szCs w:val="16"/>
                <w:color w:val="0000FF"/>
                <w:w w:val="96"/>
              </w:rPr>
            </w:pPr>
            <w:hyperlink r:id="rId150">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1"/>
              </w:rPr>
              <w:t>Western Digital Corporation Amended and Restated 2021 Long-Term Incentive Plan, amended and restated as of August 25, 2022 (Filed as Exhibit 10.1</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to the Company’s Current Report on Form 8-K (File No. 1-08703) with the Securities and Exchange Commission on November 18, 2022)*</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gridSpan w:val="8"/>
            <w:shd w:val="clear" w:color="auto" w:fill="CCEEFF"/>
          </w:tcPr>
          <w:p>
            <w:pPr>
              <w:jc w:val="center"/>
              <w:ind w:left="219"/>
              <w:spacing w:after="0" w:line="175" w:lineRule="exact"/>
              <w:rPr>
                <w:rFonts w:ascii="Arial" w:cs="Arial" w:eastAsia="Arial" w:hAnsi="Arial"/>
                <w:sz w:val="16"/>
                <w:szCs w:val="16"/>
                <w:color w:val="0000FF"/>
                <w:w w:val="94"/>
              </w:rPr>
            </w:pPr>
            <w:hyperlink r:id="rId141">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2.1</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3"/>
              </w:rPr>
              <w:t>Form of Notice of Grant of Performance Stock Units and Performance Stock Unit Award Agreement under the Western Digital Corporation 2021 Long-</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6"/>
              </w:rPr>
              <w:t>Term Incentive Plan (Filed as Exhibit 10.1 to the Company’s Quarterly Report on Form 10-Q (File No. 1-08703) with the Securities and Exchange</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 on November 2, 2022)*</w:t>
            </w:r>
          </w:p>
        </w:tc>
        <w:tc>
          <w:tcPr>
            <w:tcW w:w="0" w:type="dxa"/>
            <w:vAlign w:val="bottom"/>
          </w:tcPr>
          <w:p>
            <w:pPr>
              <w:spacing w:after="0"/>
              <w:rPr>
                <w:sz w:val="1"/>
                <w:szCs w:val="1"/>
                <w:color w:val="auto"/>
              </w:rPr>
            </w:pPr>
          </w:p>
        </w:tc>
      </w:tr>
      <w:tr>
        <w:trPr>
          <w:trHeight w:val="176"/>
        </w:trPr>
        <w:tc>
          <w:tcPr>
            <w:tcW w:w="800" w:type="dxa"/>
            <w:vAlign w:val="bottom"/>
            <w:gridSpan w:val="8"/>
          </w:tcPr>
          <w:p>
            <w:pPr>
              <w:jc w:val="center"/>
              <w:ind w:left="219"/>
              <w:spacing w:after="0" w:line="175" w:lineRule="exact"/>
              <w:rPr>
                <w:rFonts w:ascii="Arial" w:cs="Arial" w:eastAsia="Arial" w:hAnsi="Arial"/>
                <w:sz w:val="16"/>
                <w:szCs w:val="16"/>
                <w:color w:val="0000FF"/>
                <w:w w:val="94"/>
              </w:rPr>
            </w:pPr>
            <w:hyperlink r:id="rId148">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2.2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4"/>
              </w:rPr>
              <w:t>Form of Grant Notice for Restricted Stock Unit Award – Vice President and Above, under the Western Digital Corporation 2021 Long-Term Incentive</w:t>
            </w: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32" w:lineRule="exact"/>
              <w:rPr>
                <w:sz w:val="20"/>
                <w:szCs w:val="20"/>
                <w:color w:val="auto"/>
              </w:rPr>
            </w:pPr>
            <w:r>
              <w:rPr>
                <w:rFonts w:ascii="Arial" w:cs="Arial" w:eastAsia="Arial" w:hAnsi="Arial"/>
                <w:sz w:val="15"/>
                <w:szCs w:val="15"/>
                <w:color w:val="auto"/>
              </w:rPr>
              <w:t>Plan (Filed as Exhibit 10.4 to the Company’s Quarterly Report on Form 10-Q (File No. 1-08703) with the Securities and Exchange Commission on</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February 3, 2022)*</w:t>
            </w:r>
          </w:p>
        </w:tc>
        <w:tc>
          <w:tcPr>
            <w:tcW w:w="0" w:type="dxa"/>
            <w:vAlign w:val="bottom"/>
          </w:tcPr>
          <w:p>
            <w:pPr>
              <w:spacing w:after="0"/>
              <w:rPr>
                <w:sz w:val="1"/>
                <w:szCs w:val="1"/>
                <w:color w:val="auto"/>
              </w:rPr>
            </w:pPr>
          </w:p>
        </w:tc>
      </w:tr>
      <w:tr>
        <w:trPr>
          <w:trHeight w:val="179"/>
        </w:trPr>
        <w:tc>
          <w:tcPr>
            <w:tcW w:w="800" w:type="dxa"/>
            <w:vAlign w:val="bottom"/>
            <w:gridSpan w:val="8"/>
            <w:shd w:val="clear" w:color="auto" w:fill="CCEEFF"/>
          </w:tcPr>
          <w:p>
            <w:pPr>
              <w:jc w:val="center"/>
              <w:ind w:left="219"/>
              <w:spacing w:after="0" w:line="178" w:lineRule="exact"/>
              <w:rPr>
                <w:sz w:val="20"/>
                <w:szCs w:val="20"/>
                <w:color w:val="auto"/>
              </w:rPr>
            </w:pPr>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2.3</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w w:val="92"/>
              </w:rPr>
              <w:t>Form of Grant Notice for Restricted Stock Unit Award – Vice President and Above, under the Western Digital Corporation Amended and Restated 2021</w:t>
            </w:r>
          </w:p>
        </w:tc>
        <w:tc>
          <w:tcPr>
            <w:tcW w:w="0" w:type="dxa"/>
            <w:vAlign w:val="bottom"/>
          </w:tcPr>
          <w:p>
            <w:pPr>
              <w:spacing w:after="0"/>
              <w:rPr>
                <w:sz w:val="1"/>
                <w:szCs w:val="1"/>
                <w:color w:val="auto"/>
              </w:rPr>
            </w:pPr>
          </w:p>
        </w:tc>
      </w:tr>
      <w:tr>
        <w:trPr>
          <w:trHeight w:val="203"/>
        </w:trPr>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Incentive Plan†*</w:t>
            </w:r>
          </w:p>
        </w:tc>
        <w:tc>
          <w:tcPr>
            <w:tcW w:w="0" w:type="dxa"/>
            <w:vAlign w:val="bottom"/>
          </w:tcPr>
          <w:p>
            <w:pPr>
              <w:spacing w:after="0"/>
              <w:rPr>
                <w:sz w:val="1"/>
                <w:szCs w:val="1"/>
                <w:color w:val="auto"/>
              </w:rPr>
            </w:pPr>
          </w:p>
        </w:tc>
      </w:tr>
      <w:tr>
        <w:trPr>
          <w:trHeight w:val="176"/>
        </w:trPr>
        <w:tc>
          <w:tcPr>
            <w:tcW w:w="800" w:type="dxa"/>
            <w:vAlign w:val="bottom"/>
            <w:gridSpan w:val="8"/>
          </w:tcPr>
          <w:p>
            <w:pPr>
              <w:jc w:val="center"/>
              <w:ind w:left="219"/>
              <w:spacing w:after="0" w:line="175" w:lineRule="exact"/>
              <w:rPr>
                <w:sz w:val="20"/>
                <w:szCs w:val="20"/>
                <w:color w:val="auto"/>
              </w:rPr>
            </w:pPr>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2.4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5"/>
              </w:rPr>
              <w:t>Western Digital Corporation Amended and Restated 2021 Long-Term Incentive Plan Non-Employee Director Restricted Stock Unit Grant Program,</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amended and restated as of May 23, 2023†*</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gridSpan w:val="5"/>
            <w:shd w:val="clear" w:color="auto" w:fill="CCEEFF"/>
          </w:tcPr>
          <w:p>
            <w:pPr>
              <w:jc w:val="center"/>
              <w:ind w:left="319"/>
              <w:spacing w:after="0" w:line="175" w:lineRule="exact"/>
              <w:rPr>
                <w:rFonts w:ascii="Arial" w:cs="Arial" w:eastAsia="Arial" w:hAnsi="Arial"/>
                <w:sz w:val="16"/>
                <w:szCs w:val="16"/>
                <w:color w:val="0000FF"/>
                <w:w w:val="96"/>
              </w:rPr>
            </w:pPr>
            <w:hyperlink r:id="rId151">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3</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4"/>
              </w:rPr>
              <w:t>Western Digital Corporation Executive Short-Term Incentive Plan (supersedes the Western Digital Corporation Executive Short-Term Incentive Plan</w:t>
            </w:r>
          </w:p>
        </w:tc>
        <w:tc>
          <w:tcPr>
            <w:tcW w:w="0" w:type="dxa"/>
            <w:vAlign w:val="bottom"/>
          </w:tcPr>
          <w:p>
            <w:pPr>
              <w:spacing w:after="0"/>
              <w:rPr>
                <w:sz w:val="1"/>
                <w:szCs w:val="1"/>
                <w:color w:val="auto"/>
              </w:rPr>
            </w:pPr>
          </w:p>
        </w:tc>
      </w:tr>
      <w:tr>
        <w:trPr>
          <w:trHeight w:val="132"/>
        </w:trPr>
        <w:tc>
          <w:tcPr>
            <w:tcW w:w="3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32" w:lineRule="exact"/>
              <w:rPr>
                <w:sz w:val="20"/>
                <w:szCs w:val="20"/>
                <w:color w:val="auto"/>
              </w:rPr>
            </w:pPr>
            <w:r>
              <w:rPr>
                <w:rFonts w:ascii="Arial" w:cs="Arial" w:eastAsia="Arial" w:hAnsi="Arial"/>
                <w:sz w:val="15"/>
                <w:szCs w:val="15"/>
                <w:color w:val="auto"/>
              </w:rPr>
              <w:t>dated August 7, 2019), dated February 9, 2021 (Filed as Exhibit 10.1 to the Company’s Quarterly Report on Form 10</w:t>
            </w:r>
            <w:r>
              <w:rPr>
                <w:rFonts w:ascii="MS PGothic" w:cs="MS PGothic" w:eastAsia="MS PGothic" w:hAnsi="MS PGothic"/>
                <w:sz w:val="15"/>
                <w:szCs w:val="15"/>
                <w:color w:val="auto"/>
              </w:rPr>
              <w:t>‑</w:t>
            </w:r>
            <w:r>
              <w:rPr>
                <w:rFonts w:ascii="Arial" w:cs="Arial" w:eastAsia="Arial" w:hAnsi="Arial"/>
                <w:sz w:val="15"/>
                <w:szCs w:val="15"/>
                <w:color w:val="auto"/>
              </w:rPr>
              <w:t>Q (File No. 1-08703) with the</w:t>
            </w:r>
          </w:p>
        </w:tc>
        <w:tc>
          <w:tcPr>
            <w:tcW w:w="0" w:type="dxa"/>
            <w:vAlign w:val="bottom"/>
          </w:tcPr>
          <w:p>
            <w:pPr>
              <w:spacing w:after="0"/>
              <w:rPr>
                <w:sz w:val="1"/>
                <w:szCs w:val="1"/>
                <w:color w:val="auto"/>
              </w:rPr>
            </w:pPr>
          </w:p>
        </w:tc>
      </w:tr>
      <w:tr>
        <w:trPr>
          <w:trHeight w:val="212"/>
        </w:trPr>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and Exchange Commission on May 6, 2021)*</w:t>
            </w:r>
          </w:p>
        </w:tc>
        <w:tc>
          <w:tcPr>
            <w:tcW w:w="0" w:type="dxa"/>
            <w:vAlign w:val="bottom"/>
          </w:tcPr>
          <w:p>
            <w:pPr>
              <w:spacing w:after="0"/>
              <w:rPr>
                <w:sz w:val="1"/>
                <w:szCs w:val="1"/>
                <w:color w:val="auto"/>
              </w:rPr>
            </w:pPr>
          </w:p>
        </w:tc>
      </w:tr>
      <w:tr>
        <w:trPr>
          <w:trHeight w:val="176"/>
        </w:trPr>
        <w:tc>
          <w:tcPr>
            <w:tcW w:w="700" w:type="dxa"/>
            <w:vAlign w:val="bottom"/>
            <w:gridSpan w:val="5"/>
          </w:tcPr>
          <w:p>
            <w:pPr>
              <w:jc w:val="center"/>
              <w:ind w:left="319"/>
              <w:spacing w:after="0" w:line="175" w:lineRule="exact"/>
              <w:rPr>
                <w:rFonts w:ascii="Arial" w:cs="Arial" w:eastAsia="Arial" w:hAnsi="Arial"/>
                <w:sz w:val="16"/>
                <w:szCs w:val="16"/>
                <w:color w:val="0000FF"/>
                <w:w w:val="96"/>
              </w:rPr>
            </w:pPr>
            <w:hyperlink r:id="rId152">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4</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1"/>
              </w:rPr>
              <w:t>Western Digital Corporation Amended and Restated 2005 Employee Stock Purchase Plan, amended and restated as of August 25, 2022 (Filed as Exhibit</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8"/>
              </w:rPr>
              <w:t>10.2 to the Company’s Current Report on Form 8-K (File No. 1-08703) with the Securities and Exchange Commission on November 18, 2022)*</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gridSpan w:val="5"/>
            <w:shd w:val="clear" w:color="auto" w:fill="CCEEFF"/>
          </w:tcPr>
          <w:p>
            <w:pPr>
              <w:jc w:val="center"/>
              <w:ind w:left="319"/>
              <w:spacing w:after="0" w:line="175" w:lineRule="exact"/>
              <w:rPr>
                <w:rFonts w:ascii="Arial" w:cs="Arial" w:eastAsia="Arial" w:hAnsi="Arial"/>
                <w:sz w:val="16"/>
                <w:szCs w:val="16"/>
                <w:color w:val="0000FF"/>
                <w:w w:val="96"/>
              </w:rPr>
            </w:pPr>
            <w:hyperlink r:id="rId153">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5</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1"/>
              </w:rPr>
              <w:t>Amended and Restated Deferred Compensation Plan, amended and restated effective January 1, 2013 (Filed as Exhibit 10.4 to the Company’s Quarterly</w:t>
            </w:r>
          </w:p>
        </w:tc>
        <w:tc>
          <w:tcPr>
            <w:tcW w:w="0" w:type="dxa"/>
            <w:vAlign w:val="bottom"/>
          </w:tcPr>
          <w:p>
            <w:pPr>
              <w:spacing w:after="0"/>
              <w:rPr>
                <w:sz w:val="1"/>
                <w:szCs w:val="1"/>
                <w:color w:val="auto"/>
              </w:rPr>
            </w:pPr>
          </w:p>
        </w:tc>
      </w:tr>
      <w:tr>
        <w:trPr>
          <w:trHeight w:val="203"/>
        </w:trPr>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Report on Form 10-Q (File No. 1-08703) with the Securities and Exchange Commission on November 2, 2012)*</w:t>
            </w:r>
          </w:p>
        </w:tc>
        <w:tc>
          <w:tcPr>
            <w:tcW w:w="0" w:type="dxa"/>
            <w:vAlign w:val="bottom"/>
          </w:tcPr>
          <w:p>
            <w:pPr>
              <w:spacing w:after="0"/>
              <w:rPr>
                <w:sz w:val="1"/>
                <w:szCs w:val="1"/>
                <w:color w:val="auto"/>
              </w:rPr>
            </w:pPr>
          </w:p>
        </w:tc>
      </w:tr>
      <w:tr>
        <w:trPr>
          <w:trHeight w:val="175"/>
        </w:trPr>
        <w:tc>
          <w:tcPr>
            <w:tcW w:w="700" w:type="dxa"/>
            <w:vAlign w:val="bottom"/>
            <w:gridSpan w:val="5"/>
          </w:tcPr>
          <w:p>
            <w:pPr>
              <w:jc w:val="center"/>
              <w:ind w:left="319"/>
              <w:spacing w:after="0" w:line="175" w:lineRule="exact"/>
              <w:rPr>
                <w:rFonts w:ascii="Arial" w:cs="Arial" w:eastAsia="Arial" w:hAnsi="Arial"/>
                <w:sz w:val="16"/>
                <w:szCs w:val="16"/>
                <w:color w:val="0000FF"/>
                <w:w w:val="96"/>
              </w:rPr>
            </w:pPr>
            <w:hyperlink r:id="rId154">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6</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1"/>
              </w:rPr>
              <w:t>Western Digital Corporation Amended and Restated Change in Control Severance Plan, amended and restated as of May 24, 2021 (Filed as Exhibit 10.6</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to the Company’s Annual Report on Form 10-K (File No. 1-08703) with the Securities and Exchange Commission on August 27, 2021)*</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gridSpan w:val="5"/>
            <w:shd w:val="clear" w:color="auto" w:fill="CCEEFF"/>
          </w:tcPr>
          <w:p>
            <w:pPr>
              <w:jc w:val="center"/>
              <w:ind w:left="319"/>
              <w:spacing w:after="0" w:line="175" w:lineRule="exact"/>
              <w:rPr>
                <w:rFonts w:ascii="Arial" w:cs="Arial" w:eastAsia="Arial" w:hAnsi="Arial"/>
                <w:sz w:val="16"/>
                <w:szCs w:val="16"/>
                <w:color w:val="0000FF"/>
                <w:w w:val="96"/>
              </w:rPr>
            </w:pPr>
            <w:hyperlink r:id="rId155">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7</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2"/>
              </w:rPr>
              <w:t>Western Digital Corporation Amended and Restated Executive Severance Plan, amended and restated as of May 24, 2021 (Filed as Exhibit 10.7 to the</w:t>
            </w:r>
          </w:p>
        </w:tc>
        <w:tc>
          <w:tcPr>
            <w:tcW w:w="0" w:type="dxa"/>
            <w:vAlign w:val="bottom"/>
          </w:tcPr>
          <w:p>
            <w:pPr>
              <w:spacing w:after="0"/>
              <w:rPr>
                <w:sz w:val="1"/>
                <w:szCs w:val="1"/>
                <w:color w:val="auto"/>
              </w:rPr>
            </w:pPr>
          </w:p>
        </w:tc>
      </w:tr>
      <w:tr>
        <w:trPr>
          <w:trHeight w:val="183"/>
        </w:trPr>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Company’s Annual Report on Form 10-K (File No. 1-08703) with the Securities and Exchange Commission on August 27, 2021)*</w:t>
            </w:r>
          </w:p>
        </w:tc>
        <w:tc>
          <w:tcPr>
            <w:tcW w:w="0" w:type="dxa"/>
            <w:vAlign w:val="bottom"/>
          </w:tcPr>
          <w:p>
            <w:pPr>
              <w:spacing w:after="0"/>
              <w:rPr>
                <w:sz w:val="1"/>
                <w:szCs w:val="1"/>
                <w:color w:val="auto"/>
              </w:rPr>
            </w:pPr>
          </w:p>
        </w:tc>
      </w:tr>
      <w:tr>
        <w:trPr>
          <w:trHeight w:val="175"/>
        </w:trPr>
        <w:tc>
          <w:tcPr>
            <w:tcW w:w="700" w:type="dxa"/>
            <w:vAlign w:val="bottom"/>
            <w:gridSpan w:val="5"/>
          </w:tcPr>
          <w:p>
            <w:pPr>
              <w:jc w:val="center"/>
              <w:ind w:left="319"/>
              <w:spacing w:after="0" w:line="175" w:lineRule="exact"/>
              <w:rPr>
                <w:rFonts w:ascii="Arial" w:cs="Arial" w:eastAsia="Arial" w:hAnsi="Arial"/>
                <w:sz w:val="16"/>
                <w:szCs w:val="16"/>
                <w:color w:val="0000FF"/>
                <w:w w:val="96"/>
              </w:rPr>
            </w:pPr>
            <w:hyperlink r:id="rId156">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8</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6"/>
              </w:rPr>
              <w:t>Form of Indemnity Agreement for Directors of Western Digital Corporation (Filed as Exhibit 10.4 to the Company’s Quarterly Report on Form 10-Q</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(File No. 1-08703) with the Securities and Exchange Commission on November 8, 2002)*</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00" w:type="dxa"/>
            <w:vAlign w:val="bottom"/>
            <w:gridSpan w:val="5"/>
            <w:shd w:val="clear" w:color="auto" w:fill="CCEEFF"/>
          </w:tcPr>
          <w:p>
            <w:pPr>
              <w:jc w:val="center"/>
              <w:ind w:left="319"/>
              <w:spacing w:after="0" w:line="175" w:lineRule="exact"/>
              <w:rPr>
                <w:rFonts w:ascii="Arial" w:cs="Arial" w:eastAsia="Arial" w:hAnsi="Arial"/>
                <w:sz w:val="16"/>
                <w:szCs w:val="16"/>
                <w:color w:val="0000FF"/>
                <w:w w:val="96"/>
              </w:rPr>
            </w:pPr>
            <w:hyperlink r:id="rId157">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9</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7"/>
              </w:rPr>
              <w:t>Form of Indemnity Agreement for Officers of Western Digital Corporation (Filed as Exhibit 10.5 to the Company’s Quarterly Report on Form 10-Q</w:t>
            </w:r>
          </w:p>
        </w:tc>
        <w:tc>
          <w:tcPr>
            <w:tcW w:w="0" w:type="dxa"/>
            <w:vAlign w:val="bottom"/>
          </w:tcPr>
          <w:p>
            <w:pPr>
              <w:spacing w:after="0"/>
              <w:rPr>
                <w:sz w:val="1"/>
                <w:szCs w:val="1"/>
                <w:color w:val="auto"/>
              </w:rPr>
            </w:pPr>
          </w:p>
        </w:tc>
      </w:tr>
      <w:tr>
        <w:trPr>
          <w:trHeight w:val="203"/>
        </w:trPr>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(File No. 1-08703) with the Securities and Exchange Commission on November 8, 2002)*</w:t>
            </w:r>
          </w:p>
        </w:tc>
        <w:tc>
          <w:tcPr>
            <w:tcW w:w="0" w:type="dxa"/>
            <w:vAlign w:val="bottom"/>
          </w:tcPr>
          <w:p>
            <w:pPr>
              <w:spacing w:after="0"/>
              <w:rPr>
                <w:sz w:val="1"/>
                <w:szCs w:val="1"/>
                <w:color w:val="auto"/>
              </w:rPr>
            </w:pPr>
          </w:p>
        </w:tc>
      </w:tr>
      <w:tr>
        <w:trPr>
          <w:trHeight w:val="175"/>
        </w:trPr>
        <w:tc>
          <w:tcPr>
            <w:tcW w:w="760" w:type="dxa"/>
            <w:vAlign w:val="bottom"/>
            <w:gridSpan w:val="7"/>
          </w:tcPr>
          <w:p>
            <w:pPr>
              <w:jc w:val="center"/>
              <w:ind w:left="259"/>
              <w:spacing w:after="0" w:line="175" w:lineRule="exact"/>
              <w:rPr>
                <w:rFonts w:ascii="Arial" w:cs="Arial" w:eastAsia="Arial" w:hAnsi="Arial"/>
                <w:sz w:val="16"/>
                <w:szCs w:val="16"/>
                <w:color w:val="0000FF"/>
                <w:w w:val="94"/>
              </w:rPr>
            </w:pPr>
            <w:hyperlink r:id="rId158">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10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4"/>
              </w:rPr>
              <w:t>Form of Indemnification Agreement entered into between SanDisk Corporation and its directors and officers (Filed as Exhibit 10.10 to the Company’s</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Annual Report on Form 10-K (File No. 1-08703) with the Securities and Exchange Commission on August 24, 2018)*</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gridSpan w:val="7"/>
            <w:shd w:val="clear" w:color="auto" w:fill="CCEEFF"/>
          </w:tcPr>
          <w:p>
            <w:pPr>
              <w:jc w:val="center"/>
              <w:ind w:left="259"/>
              <w:spacing w:after="0" w:line="175" w:lineRule="exact"/>
              <w:rPr>
                <w:rFonts w:ascii="Arial" w:cs="Arial" w:eastAsia="Arial" w:hAnsi="Arial"/>
                <w:sz w:val="16"/>
                <w:szCs w:val="16"/>
                <w:color w:val="0000FF"/>
                <w:w w:val="94"/>
              </w:rPr>
            </w:pPr>
            <w:hyperlink r:id="rId159">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11</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5"/>
              </w:rPr>
              <w:t>Offer Letter, dated as of February 18, 2020, to David Goeckeler (Filed as Exhibit 10.1 to the Company’s Quarterly Report on Form 10-Q (File No. 1-</w:t>
            </w:r>
          </w:p>
        </w:tc>
        <w:tc>
          <w:tcPr>
            <w:tcW w:w="0" w:type="dxa"/>
            <w:vAlign w:val="bottom"/>
          </w:tcPr>
          <w:p>
            <w:pPr>
              <w:spacing w:after="0"/>
              <w:rPr>
                <w:sz w:val="1"/>
                <w:szCs w:val="1"/>
                <w:color w:val="auto"/>
              </w:rPr>
            </w:pPr>
          </w:p>
        </w:tc>
      </w:tr>
      <w:tr>
        <w:trPr>
          <w:trHeight w:val="203"/>
        </w:trPr>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08703) with the Securities and Exchange Commission on May 8, 2020)*</w:t>
            </w:r>
          </w:p>
        </w:tc>
        <w:tc>
          <w:tcPr>
            <w:tcW w:w="0" w:type="dxa"/>
            <w:vAlign w:val="bottom"/>
          </w:tcPr>
          <w:p>
            <w:pPr>
              <w:spacing w:after="0"/>
              <w:rPr>
                <w:sz w:val="1"/>
                <w:szCs w:val="1"/>
                <w:color w:val="auto"/>
              </w:rPr>
            </w:pPr>
          </w:p>
        </w:tc>
      </w:tr>
      <w:tr>
        <w:trPr>
          <w:trHeight w:val="176"/>
        </w:trPr>
        <w:tc>
          <w:tcPr>
            <w:tcW w:w="760" w:type="dxa"/>
            <w:vAlign w:val="bottom"/>
            <w:gridSpan w:val="7"/>
          </w:tcPr>
          <w:p>
            <w:pPr>
              <w:jc w:val="center"/>
              <w:ind w:left="259"/>
              <w:spacing w:after="0" w:line="175" w:lineRule="exact"/>
              <w:rPr>
                <w:rFonts w:ascii="Arial" w:cs="Arial" w:eastAsia="Arial" w:hAnsi="Arial"/>
                <w:sz w:val="16"/>
                <w:szCs w:val="16"/>
                <w:color w:val="0000FF"/>
                <w:w w:val="94"/>
              </w:rPr>
            </w:pPr>
            <w:hyperlink r:id="rId160">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12</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5"/>
              </w:rPr>
              <w:t>Offer Letter, dated as of December 14, 2021, to Wissam Jabre (Filed as Exhibit 10.1 to the Company’s Quarterly Report on Form 10-Q (File No. 1-</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83" w:lineRule="exact"/>
              <w:rPr>
                <w:sz w:val="20"/>
                <w:szCs w:val="20"/>
                <w:color w:val="auto"/>
              </w:rPr>
            </w:pPr>
            <w:r>
              <w:rPr>
                <w:rFonts w:ascii="Arial" w:cs="Arial" w:eastAsia="Arial" w:hAnsi="Arial"/>
                <w:sz w:val="16"/>
                <w:szCs w:val="16"/>
                <w:color w:val="auto"/>
              </w:rPr>
              <w:t>08703) with the Securities and Exchange Commission on May 4, 2022)*</w:t>
            </w:r>
          </w:p>
        </w:tc>
        <w:tc>
          <w:tcPr>
            <w:tcW w:w="0" w:type="dxa"/>
            <w:vAlign w:val="bottom"/>
          </w:tcPr>
          <w:p>
            <w:pPr>
              <w:spacing w:after="0"/>
              <w:rPr>
                <w:sz w:val="1"/>
                <w:szCs w:val="1"/>
                <w:color w:val="auto"/>
              </w:rPr>
            </w:pPr>
          </w:p>
        </w:tc>
      </w:tr>
      <w:tr>
        <w:trPr>
          <w:trHeight w:val="176"/>
        </w:trPr>
        <w:tc>
          <w:tcPr>
            <w:tcW w:w="760" w:type="dxa"/>
            <w:vAlign w:val="bottom"/>
            <w:gridSpan w:val="7"/>
            <w:shd w:val="clear" w:color="auto" w:fill="CCEEFF"/>
          </w:tcPr>
          <w:p>
            <w:pPr>
              <w:jc w:val="center"/>
              <w:ind w:left="259"/>
              <w:spacing w:after="0" w:line="175" w:lineRule="exact"/>
              <w:rPr>
                <w:rFonts w:ascii="Arial" w:cs="Arial" w:eastAsia="Arial" w:hAnsi="Arial"/>
                <w:sz w:val="16"/>
                <w:szCs w:val="16"/>
                <w:color w:val="0000FF"/>
                <w:w w:val="94"/>
              </w:rPr>
            </w:pPr>
            <w:hyperlink r:id="rId161">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13</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1"/>
              </w:rPr>
              <w:t>Amended and Restated Letter Agreement, dated January 31, 2023, by and between Western Digital Corporation and Elliott Investment Management L.P.</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3"/>
              </w:rPr>
              <w:t>(Filed as Exhibit 10.4 to the Company’s Current Report on Form 8-K (File No. 1-08703) with the Securities and Exchange Commission on February 1,</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175"/>
        </w:trPr>
        <w:tc>
          <w:tcPr>
            <w:tcW w:w="760" w:type="dxa"/>
            <w:vAlign w:val="bottom"/>
            <w:gridSpan w:val="7"/>
          </w:tcPr>
          <w:p>
            <w:pPr>
              <w:jc w:val="center"/>
              <w:ind w:left="259"/>
              <w:spacing w:after="0" w:line="175" w:lineRule="exact"/>
              <w:rPr>
                <w:rFonts w:ascii="Arial" w:cs="Arial" w:eastAsia="Arial" w:hAnsi="Arial"/>
                <w:sz w:val="16"/>
                <w:szCs w:val="16"/>
                <w:color w:val="0000FF"/>
                <w:w w:val="94"/>
              </w:rPr>
            </w:pPr>
            <w:hyperlink r:id="rId162">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14</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4"/>
              </w:rPr>
              <w:t>Investment Agreement, dated January 31, 2023, by and between Western Digital Corporation and AP WD Holdings, L.P. (Filed as Exhibit 10.1 to the</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Company’s Quarterly Report on Form 10-Q (File No. 1-08703) with the Securities and Exchange Commission on May 10, 2023)</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gridSpan w:val="7"/>
            <w:shd w:val="clear" w:color="auto" w:fill="CCEEFF"/>
          </w:tcPr>
          <w:p>
            <w:pPr>
              <w:jc w:val="center"/>
              <w:ind w:left="259"/>
              <w:spacing w:after="0" w:line="175" w:lineRule="exact"/>
              <w:rPr>
                <w:rFonts w:ascii="Arial" w:cs="Arial" w:eastAsia="Arial" w:hAnsi="Arial"/>
                <w:sz w:val="16"/>
                <w:szCs w:val="16"/>
                <w:color w:val="0000FF"/>
                <w:w w:val="94"/>
              </w:rPr>
            </w:pPr>
            <w:hyperlink r:id="rId163">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15</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3"/>
              </w:rPr>
              <w:t>Investment Agreement, dated January 31, 2023, by and among Western Digital Corporation, Elliott Associates, L.P. and Elliott International, L.P. (Filed</w:t>
            </w:r>
          </w:p>
        </w:tc>
        <w:tc>
          <w:tcPr>
            <w:tcW w:w="0" w:type="dxa"/>
            <w:vAlign w:val="bottom"/>
          </w:tcPr>
          <w:p>
            <w:pPr>
              <w:spacing w:after="0"/>
              <w:rPr>
                <w:sz w:val="1"/>
                <w:szCs w:val="1"/>
                <w:color w:val="auto"/>
              </w:rPr>
            </w:pPr>
          </w:p>
        </w:tc>
      </w:tr>
      <w:tr>
        <w:trPr>
          <w:trHeight w:val="183"/>
        </w:trPr>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w w:val="93"/>
              </w:rPr>
              <w:t>as Exhibit 10.2 to the Company’s Quarterly Report on Form 10-Q (File No. 1-08703) with the Securities and Exchange Commission on May 10,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9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996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0" w:type="dxa"/>
            <w:vAlign w:val="bottom"/>
            <w:tcBorders>
              <w:top w:val="single" w:sz="8" w:color="auto"/>
            </w:tcBorders>
            <w:gridSpan w:val="4"/>
          </w:tcPr>
          <w:p>
            <w:pPr>
              <w:jc w:val="center"/>
              <w:ind w:left="220"/>
              <w:spacing w:after="0" w:line="175" w:lineRule="exact"/>
              <w:rPr>
                <w:rFonts w:ascii="Arial" w:cs="Arial" w:eastAsia="Arial" w:hAnsi="Arial"/>
                <w:sz w:val="16"/>
                <w:szCs w:val="16"/>
                <w:color w:val="0000FF"/>
                <w:w w:val="94"/>
              </w:rPr>
            </w:pPr>
            <w:hyperlink r:id="rId165">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16</w:t>
            </w: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6"/>
                <w:szCs w:val="16"/>
                <w:color w:val="auto"/>
                <w:w w:val="92"/>
              </w:rPr>
              <w:t>Registration Rights Agreement, dated January 31, 2023, by and among Western Digital Corporation, AP WD Holdings, L.P., Elliott Associates, L.P. and</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6"/>
              </w:rPr>
              <w:t>Elliott International, L.P. (Filed as Exhibit 10.3 to the Company’s Current Report on Form 8-K (File No. 1-08703) with the Securities and Exchange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Commission on February 1, 2023)</w:t>
            </w:r>
          </w:p>
        </w:tc>
        <w:tc>
          <w:tcPr>
            <w:tcW w:w="0" w:type="dxa"/>
            <w:vAlign w:val="bottom"/>
          </w:tcPr>
          <w:p>
            <w:pPr>
              <w:spacing w:after="0"/>
              <w:rPr>
                <w:sz w:val="1"/>
                <w:szCs w:val="1"/>
                <w:color w:val="auto"/>
              </w:rPr>
            </w:pPr>
          </w:p>
        </w:tc>
      </w:tr>
      <w:tr>
        <w:trPr>
          <w:trHeight w:val="185"/>
        </w:trPr>
        <w:tc>
          <w:tcPr>
            <w:tcW w:w="800" w:type="dxa"/>
            <w:vAlign w:val="bottom"/>
            <w:gridSpan w:val="4"/>
            <w:shd w:val="clear" w:color="auto" w:fill="CCEEFF"/>
          </w:tcPr>
          <w:p>
            <w:pPr>
              <w:jc w:val="center"/>
              <w:ind w:left="220"/>
              <w:spacing w:after="0"/>
              <w:rPr>
                <w:rFonts w:ascii="Arial" w:cs="Arial" w:eastAsia="Arial" w:hAnsi="Arial"/>
                <w:sz w:val="16"/>
                <w:szCs w:val="16"/>
                <w:color w:val="0000FF"/>
                <w:w w:val="94"/>
              </w:rPr>
            </w:pPr>
            <w:hyperlink r:id="rId166">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17</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Restatement Agreement, dated January 7, 2022, by and among Western Digital Corporation, JPMorgan Chase Bank, N.A., as administrative agent, and</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3"/>
              </w:rPr>
              <w:t>the lenders party thereto (Filed as Exhibit 10.2 to the Company’s Quarterly Report on Form 10-Q (File No. 1-08703) with the Securities and Exchange</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 on May 4, 2022)</w:t>
            </w:r>
          </w:p>
        </w:tc>
        <w:tc>
          <w:tcPr>
            <w:tcW w:w="0" w:type="dxa"/>
            <w:vAlign w:val="bottom"/>
          </w:tcPr>
          <w:p>
            <w:pPr>
              <w:spacing w:after="0"/>
              <w:rPr>
                <w:sz w:val="1"/>
                <w:szCs w:val="1"/>
                <w:color w:val="auto"/>
              </w:rPr>
            </w:pPr>
          </w:p>
        </w:tc>
      </w:tr>
      <w:tr>
        <w:trPr>
          <w:trHeight w:val="175"/>
        </w:trPr>
        <w:tc>
          <w:tcPr>
            <w:tcW w:w="800" w:type="dxa"/>
            <w:vAlign w:val="bottom"/>
            <w:gridSpan w:val="4"/>
          </w:tcPr>
          <w:p>
            <w:pPr>
              <w:jc w:val="center"/>
              <w:ind w:left="220"/>
              <w:spacing w:after="0" w:line="175" w:lineRule="exact"/>
              <w:rPr>
                <w:rFonts w:ascii="Arial" w:cs="Arial" w:eastAsia="Arial" w:hAnsi="Arial"/>
                <w:sz w:val="16"/>
                <w:szCs w:val="16"/>
                <w:color w:val="0000FF"/>
                <w:w w:val="93"/>
              </w:rPr>
            </w:pPr>
            <w:hyperlink r:id="rId167">
              <w:r>
                <w:rPr>
                  <w:rFonts w:ascii="Arial" w:cs="Arial" w:eastAsia="Arial" w:hAnsi="Arial"/>
                  <w:sz w:val="16"/>
                  <w:szCs w:val="16"/>
                  <w:color w:val="0000FF"/>
                  <w:w w:val="93"/>
                </w:rPr>
                <w:t>10.</w:t>
              </w:r>
            </w:hyperlink>
            <w:r>
              <w:rPr>
                <w:rFonts w:ascii="Arial" w:cs="Arial" w:eastAsia="Arial" w:hAnsi="Arial"/>
                <w:sz w:val="16"/>
                <w:szCs w:val="16"/>
                <w:u w:val="single" w:color="auto"/>
                <w:color w:val="0000FF"/>
                <w:w w:val="93"/>
              </w:rPr>
              <w:t>17.1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1"/>
              </w:rPr>
              <w:t>Amendment No. 1, dated as of December 23, 2022, to the Amended and Restated Loan Agreement, dated as of January 7, 2022, by and among Western</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5"/>
              </w:rPr>
              <w:t>Digital Corporation, each lender party thereto, J.P. Morgan Chase Bank, N.A. as Administrative Agent and the other parties thereto (Filed as Exhibit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8"/>
              </w:rPr>
              <w:t>10.1 to the Company’s Current Report on Form 8-K (File No. 1-08703) with the Securities and Exchange Commission on December 23, 2022)</w:t>
            </w:r>
          </w:p>
        </w:tc>
        <w:tc>
          <w:tcPr>
            <w:tcW w:w="0" w:type="dxa"/>
            <w:vAlign w:val="bottom"/>
          </w:tcPr>
          <w:p>
            <w:pPr>
              <w:spacing w:after="0"/>
              <w:rPr>
                <w:sz w:val="1"/>
                <w:szCs w:val="1"/>
                <w:color w:val="auto"/>
              </w:rPr>
            </w:pPr>
          </w:p>
        </w:tc>
      </w:tr>
      <w:tr>
        <w:trPr>
          <w:trHeight w:val="185"/>
        </w:trPr>
        <w:tc>
          <w:tcPr>
            <w:tcW w:w="800" w:type="dxa"/>
            <w:vAlign w:val="bottom"/>
            <w:gridSpan w:val="4"/>
            <w:shd w:val="clear" w:color="auto" w:fill="CCEEFF"/>
          </w:tcPr>
          <w:p>
            <w:pPr>
              <w:jc w:val="center"/>
              <w:ind w:left="220"/>
              <w:spacing w:after="0"/>
              <w:rPr>
                <w:rFonts w:ascii="Arial" w:cs="Arial" w:eastAsia="Arial" w:hAnsi="Arial"/>
                <w:sz w:val="16"/>
                <w:szCs w:val="16"/>
                <w:color w:val="0000FF"/>
                <w:w w:val="93"/>
              </w:rPr>
            </w:pPr>
            <w:hyperlink r:id="rId168">
              <w:r>
                <w:rPr>
                  <w:rFonts w:ascii="Arial" w:cs="Arial" w:eastAsia="Arial" w:hAnsi="Arial"/>
                  <w:sz w:val="16"/>
                  <w:szCs w:val="16"/>
                  <w:color w:val="0000FF"/>
                  <w:w w:val="93"/>
                </w:rPr>
                <w:t>10.</w:t>
              </w:r>
            </w:hyperlink>
            <w:r>
              <w:rPr>
                <w:rFonts w:ascii="Arial" w:cs="Arial" w:eastAsia="Arial" w:hAnsi="Arial"/>
                <w:sz w:val="16"/>
                <w:szCs w:val="16"/>
                <w:u w:val="single" w:color="auto"/>
                <w:color w:val="0000FF"/>
                <w:w w:val="93"/>
              </w:rPr>
              <w:t>17.2</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Amendment No. 2, dated as of June 20, 2023, to the Amended and Restated Loan Agreement, dated as of January 7, 2022, by and among Western</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5"/>
              </w:rPr>
              <w:t>Digital Corporation, each lender party thereto, J.P. Morgan Chase Bank, N.A. as Administrative Agent and the other parties thereto (Filed as Exhibit</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 to the Company’s Current Report on Form 8-K (File No. 1-08703) with the Securities and Exchange Commission on June 21, 2023)</w:t>
            </w:r>
          </w:p>
        </w:tc>
        <w:tc>
          <w:tcPr>
            <w:tcW w:w="0" w:type="dxa"/>
            <w:vAlign w:val="bottom"/>
          </w:tcPr>
          <w:p>
            <w:pPr>
              <w:spacing w:after="0"/>
              <w:rPr>
                <w:sz w:val="1"/>
                <w:szCs w:val="1"/>
                <w:color w:val="auto"/>
              </w:rPr>
            </w:pPr>
          </w:p>
        </w:tc>
      </w:tr>
      <w:tr>
        <w:trPr>
          <w:trHeight w:val="176"/>
        </w:trPr>
        <w:tc>
          <w:tcPr>
            <w:tcW w:w="800" w:type="dxa"/>
            <w:vAlign w:val="bottom"/>
            <w:gridSpan w:val="4"/>
          </w:tcPr>
          <w:p>
            <w:pPr>
              <w:jc w:val="center"/>
              <w:ind w:left="220"/>
              <w:spacing w:after="0" w:line="175" w:lineRule="exact"/>
              <w:rPr>
                <w:rFonts w:ascii="Arial" w:cs="Arial" w:eastAsia="Arial" w:hAnsi="Arial"/>
                <w:sz w:val="16"/>
                <w:szCs w:val="16"/>
                <w:color w:val="0000FF"/>
                <w:w w:val="94"/>
              </w:rPr>
            </w:pPr>
            <w:hyperlink r:id="rId169">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18</w:t>
              </w:r>
            </w:hyperlink>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1"/>
              </w:rPr>
              <w:t>Loan Agreement, dated as of January 25, 2023, by and among Western Digital Corporation, each lender party thereto, J.P. Morgan Chase Bank, N.A. as</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6"/>
              </w:rPr>
              <w:t>administrative agent and the other parties thereto (Filed as Exhibit 10.1 to the Company’s Current Report on Form 8-K (File No. 1-08703) with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Securities and Exchange Commission on January 31, 2023)</w:t>
            </w:r>
          </w:p>
        </w:tc>
        <w:tc>
          <w:tcPr>
            <w:tcW w:w="0" w:type="dxa"/>
            <w:vAlign w:val="bottom"/>
          </w:tcPr>
          <w:p>
            <w:pPr>
              <w:spacing w:after="0"/>
              <w:rPr>
                <w:sz w:val="1"/>
                <w:szCs w:val="1"/>
                <w:color w:val="auto"/>
              </w:rPr>
            </w:pPr>
          </w:p>
        </w:tc>
      </w:tr>
      <w:tr>
        <w:trPr>
          <w:trHeight w:val="185"/>
        </w:trPr>
        <w:tc>
          <w:tcPr>
            <w:tcW w:w="800" w:type="dxa"/>
            <w:vAlign w:val="bottom"/>
            <w:gridSpan w:val="4"/>
            <w:shd w:val="clear" w:color="auto" w:fill="CCEEFF"/>
          </w:tcPr>
          <w:p>
            <w:pPr>
              <w:jc w:val="center"/>
              <w:ind w:left="220"/>
              <w:spacing w:after="0"/>
              <w:rPr>
                <w:rFonts w:ascii="Arial" w:cs="Arial" w:eastAsia="Arial" w:hAnsi="Arial"/>
                <w:sz w:val="16"/>
                <w:szCs w:val="16"/>
                <w:color w:val="0000FF"/>
                <w:w w:val="93"/>
              </w:rPr>
            </w:pPr>
            <w:hyperlink r:id="rId170">
              <w:r>
                <w:rPr>
                  <w:rFonts w:ascii="Arial" w:cs="Arial" w:eastAsia="Arial" w:hAnsi="Arial"/>
                  <w:sz w:val="16"/>
                  <w:szCs w:val="16"/>
                  <w:color w:val="0000FF"/>
                  <w:w w:val="93"/>
                </w:rPr>
                <w:t>10.</w:t>
              </w:r>
            </w:hyperlink>
            <w:r>
              <w:rPr>
                <w:rFonts w:ascii="Arial" w:cs="Arial" w:eastAsia="Arial" w:hAnsi="Arial"/>
                <w:sz w:val="16"/>
                <w:szCs w:val="16"/>
                <w:u w:val="single" w:color="auto"/>
                <w:color w:val="0000FF"/>
                <w:w w:val="93"/>
              </w:rPr>
              <w:t>18.1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Amendment No. 1, dated as of June 20, 2023, to the Loan Agreement, dated as of January 25, 2023, by and among Western Digital Corporation, each</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2"/>
              </w:rPr>
              <w:t>lender party thereto, JPMorgan Chase Bank, N.A. as Administrative Agent and the other parties thereto (Filed as Exhibit 10.2 to the Company’s Current</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 on Form 8-K (File No. 1-08703) with the Securities and Exchange Commission on June 21, 2023)</w:t>
            </w:r>
          </w:p>
        </w:tc>
        <w:tc>
          <w:tcPr>
            <w:tcW w:w="0" w:type="dxa"/>
            <w:vAlign w:val="bottom"/>
          </w:tcPr>
          <w:p>
            <w:pPr>
              <w:spacing w:after="0"/>
              <w:rPr>
                <w:sz w:val="1"/>
                <w:szCs w:val="1"/>
                <w:color w:val="auto"/>
              </w:rPr>
            </w:pPr>
          </w:p>
        </w:tc>
      </w:tr>
      <w:tr>
        <w:trPr>
          <w:trHeight w:val="175"/>
        </w:trPr>
        <w:tc>
          <w:tcPr>
            <w:tcW w:w="800" w:type="dxa"/>
            <w:vAlign w:val="bottom"/>
            <w:gridSpan w:val="4"/>
          </w:tcPr>
          <w:p>
            <w:pPr>
              <w:jc w:val="center"/>
              <w:ind w:left="220"/>
              <w:spacing w:after="0" w:line="175" w:lineRule="exact"/>
              <w:rPr>
                <w:rFonts w:ascii="Arial" w:cs="Arial" w:eastAsia="Arial" w:hAnsi="Arial"/>
                <w:sz w:val="16"/>
                <w:szCs w:val="16"/>
                <w:color w:val="0000FF"/>
                <w:w w:val="93"/>
              </w:rPr>
            </w:pPr>
            <w:hyperlink r:id="rId171">
              <w:r>
                <w:rPr>
                  <w:rFonts w:ascii="Arial" w:cs="Arial" w:eastAsia="Arial" w:hAnsi="Arial"/>
                  <w:sz w:val="16"/>
                  <w:szCs w:val="16"/>
                  <w:color w:val="0000FF"/>
                  <w:w w:val="93"/>
                </w:rPr>
                <w:t>10.</w:t>
              </w:r>
            </w:hyperlink>
            <w:r>
              <w:rPr>
                <w:rFonts w:ascii="Arial" w:cs="Arial" w:eastAsia="Arial" w:hAnsi="Arial"/>
                <w:sz w:val="16"/>
                <w:szCs w:val="16"/>
                <w:u w:val="single" w:color="auto"/>
                <w:color w:val="0000FF"/>
                <w:w w:val="93"/>
              </w:rPr>
              <w:t>18.2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3"/>
              </w:rPr>
              <w:t>Amendment No. 2, dated as of June 20, 2023, to the Loan Agreement, dated as of January 25, 2023, by and among Western Digital Corporation, each</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2"/>
              </w:rPr>
              <w:t>lender party thereto, JPMorgan Chase Bank, N.A. as Administrative Agent and the other parties thereto (Filed as Exhibit 10.3 to the Company’s Current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Report on Form 8-K (File No. 1-08703) with the Securities and Exchange Commission on June 21, 2023)</w:t>
            </w:r>
          </w:p>
        </w:tc>
        <w:tc>
          <w:tcPr>
            <w:tcW w:w="0" w:type="dxa"/>
            <w:vAlign w:val="bottom"/>
          </w:tcPr>
          <w:p>
            <w:pPr>
              <w:spacing w:after="0"/>
              <w:rPr>
                <w:sz w:val="1"/>
                <w:szCs w:val="1"/>
                <w:color w:val="auto"/>
              </w:rPr>
            </w:pPr>
          </w:p>
        </w:tc>
      </w:tr>
      <w:tr>
        <w:trPr>
          <w:trHeight w:val="185"/>
        </w:trPr>
        <w:tc>
          <w:tcPr>
            <w:tcW w:w="800" w:type="dxa"/>
            <w:vAlign w:val="bottom"/>
            <w:gridSpan w:val="4"/>
            <w:shd w:val="clear" w:color="auto" w:fill="CCEEFF"/>
          </w:tcPr>
          <w:p>
            <w:pPr>
              <w:jc w:val="center"/>
              <w:ind w:left="220"/>
              <w:spacing w:after="0"/>
              <w:rPr>
                <w:rFonts w:ascii="Arial" w:cs="Arial" w:eastAsia="Arial" w:hAnsi="Arial"/>
                <w:sz w:val="16"/>
                <w:szCs w:val="16"/>
                <w:color w:val="0000FF"/>
                <w:w w:val="94"/>
              </w:rPr>
            </w:pPr>
            <w:hyperlink r:id="rId172">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19</w:t>
              </w:r>
            </w:hyperlink>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Guaranty, dated as of June 20, 2023, by and among Western Digital Corporation, Western Digital Technologies, Inc. and JPMorgan Chase Bank, N.A. as</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8"/>
              </w:rPr>
              <w:t>Administrative Agent (Filed as Exhibit 10.4 to the Company’s Current Report on Form 8-K (File No. 1-08703) with the Securities and Exchange</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 on June 21, 2023)</w:t>
            </w:r>
          </w:p>
        </w:tc>
        <w:tc>
          <w:tcPr>
            <w:tcW w:w="0" w:type="dxa"/>
            <w:vAlign w:val="bottom"/>
          </w:tcPr>
          <w:p>
            <w:pPr>
              <w:spacing w:after="0"/>
              <w:rPr>
                <w:sz w:val="1"/>
                <w:szCs w:val="1"/>
                <w:color w:val="auto"/>
              </w:rPr>
            </w:pPr>
          </w:p>
        </w:tc>
      </w:tr>
      <w:tr>
        <w:trPr>
          <w:trHeight w:val="176"/>
        </w:trPr>
        <w:tc>
          <w:tcPr>
            <w:tcW w:w="800" w:type="dxa"/>
            <w:vAlign w:val="bottom"/>
            <w:gridSpan w:val="4"/>
          </w:tcPr>
          <w:p>
            <w:pPr>
              <w:jc w:val="center"/>
              <w:ind w:left="220"/>
              <w:spacing w:after="0" w:line="175" w:lineRule="exact"/>
              <w:rPr>
                <w:rFonts w:ascii="Arial" w:cs="Arial" w:eastAsia="Arial" w:hAnsi="Arial"/>
                <w:sz w:val="16"/>
                <w:szCs w:val="16"/>
                <w:color w:val="0000FF"/>
                <w:w w:val="94"/>
              </w:rPr>
            </w:pPr>
            <w:hyperlink r:id="rId173">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20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1"/>
              </w:rPr>
              <w:t>Guaranty, dated as of June 20, 2023, by and among Western Digital Corporation, Western Digital Technologies, Inc. and JPMorgan Chase Bank, N.A. as</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8"/>
              </w:rPr>
              <w:t>Administrative Agent (Filed as Exhibit 10.5 to the Company’s Current Report on Form 8-K (File No. 1-08703) with the Securities and Exchange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Commission on June 21, 2023)</w:t>
            </w:r>
          </w:p>
        </w:tc>
        <w:tc>
          <w:tcPr>
            <w:tcW w:w="0" w:type="dxa"/>
            <w:vAlign w:val="bottom"/>
          </w:tcPr>
          <w:p>
            <w:pPr>
              <w:spacing w:after="0"/>
              <w:rPr>
                <w:sz w:val="1"/>
                <w:szCs w:val="1"/>
                <w:color w:val="auto"/>
              </w:rPr>
            </w:pPr>
          </w:p>
        </w:tc>
      </w:tr>
      <w:tr>
        <w:trPr>
          <w:trHeight w:val="185"/>
        </w:trPr>
        <w:tc>
          <w:tcPr>
            <w:tcW w:w="800" w:type="dxa"/>
            <w:vAlign w:val="bottom"/>
            <w:gridSpan w:val="4"/>
            <w:shd w:val="clear" w:color="auto" w:fill="CCEEFF"/>
          </w:tcPr>
          <w:p>
            <w:pPr>
              <w:jc w:val="center"/>
              <w:ind w:left="220"/>
              <w:spacing w:after="0"/>
              <w:rPr>
                <w:rFonts w:ascii="Arial" w:cs="Arial" w:eastAsia="Arial" w:hAnsi="Arial"/>
                <w:sz w:val="16"/>
                <w:szCs w:val="16"/>
                <w:color w:val="0000FF"/>
                <w:w w:val="94"/>
              </w:rPr>
            </w:pPr>
            <w:hyperlink r:id="rId174">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21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Security Agreement, dated as of June 20, 2023, by and among Western Digital Corporation, Western Digital Technologies, Inc and JPMorgan Chase</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9"/>
              </w:rPr>
              <w:t>Bank, N.A. as Collateral Agent (Filed as Exhibit 10.6 to the Company’s Current Report on Form 8-K (File No. 1-08703) with the Securities and</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Commission on June 21, 2023)</w:t>
            </w:r>
          </w:p>
        </w:tc>
        <w:tc>
          <w:tcPr>
            <w:tcW w:w="0" w:type="dxa"/>
            <w:vAlign w:val="bottom"/>
          </w:tcPr>
          <w:p>
            <w:pPr>
              <w:spacing w:after="0"/>
              <w:rPr>
                <w:sz w:val="1"/>
                <w:szCs w:val="1"/>
                <w:color w:val="auto"/>
              </w:rPr>
            </w:pPr>
          </w:p>
        </w:tc>
      </w:tr>
      <w:tr>
        <w:trPr>
          <w:trHeight w:val="175"/>
        </w:trPr>
        <w:tc>
          <w:tcPr>
            <w:tcW w:w="800" w:type="dxa"/>
            <w:vAlign w:val="bottom"/>
            <w:gridSpan w:val="4"/>
          </w:tcPr>
          <w:p>
            <w:pPr>
              <w:jc w:val="center"/>
              <w:ind w:left="220"/>
              <w:spacing w:after="0" w:line="175" w:lineRule="exact"/>
              <w:rPr>
                <w:rFonts w:ascii="Arial" w:cs="Arial" w:eastAsia="Arial" w:hAnsi="Arial"/>
                <w:sz w:val="16"/>
                <w:szCs w:val="16"/>
                <w:color w:val="0000FF"/>
                <w:w w:val="94"/>
              </w:rPr>
            </w:pPr>
            <w:hyperlink r:id="rId175">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22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3"/>
              </w:rPr>
              <w:t>Security Agreement, dated as of June 20, 2023, by and among Western Digital Corporation, Western Digital Technologies, Inc. and JPMorgan Chase</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9"/>
              </w:rPr>
              <w:t>Bank, N.A. as Collateral Agent (Filed as Exhibit 10.7 to the Company’s Current Report on Form 8-K (File No. 1-08703) with the Securities and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Exchange Commission on June 21, 2023)</w:t>
            </w:r>
          </w:p>
        </w:tc>
        <w:tc>
          <w:tcPr>
            <w:tcW w:w="0" w:type="dxa"/>
            <w:vAlign w:val="bottom"/>
          </w:tcPr>
          <w:p>
            <w:pPr>
              <w:spacing w:after="0"/>
              <w:rPr>
                <w:sz w:val="1"/>
                <w:szCs w:val="1"/>
                <w:color w:val="auto"/>
              </w:rPr>
            </w:pPr>
          </w:p>
        </w:tc>
      </w:tr>
      <w:tr>
        <w:trPr>
          <w:trHeight w:val="185"/>
        </w:trPr>
        <w:tc>
          <w:tcPr>
            <w:tcW w:w="800" w:type="dxa"/>
            <w:vAlign w:val="bottom"/>
            <w:gridSpan w:val="4"/>
            <w:shd w:val="clear" w:color="auto" w:fill="CCEEFF"/>
          </w:tcPr>
          <w:p>
            <w:pPr>
              <w:jc w:val="center"/>
              <w:ind w:left="220"/>
              <w:spacing w:after="0"/>
              <w:rPr>
                <w:rFonts w:ascii="Arial" w:cs="Arial" w:eastAsia="Arial" w:hAnsi="Arial"/>
                <w:sz w:val="16"/>
                <w:szCs w:val="16"/>
                <w:color w:val="0000FF"/>
                <w:w w:val="94"/>
              </w:rPr>
            </w:pPr>
            <w:hyperlink r:id="rId176">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23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Flash Alliance, Master Agreement dated as of July 7, 2006, by and among SanDisk Corporation, Toshiba Corporation and SanDisk (Ireland) Limited</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3"/>
              </w:rPr>
              <w:t>(Filed as Exhibit 10.6 to the Company’s Quarterly Report on Form 10-Q (File No. 1-08703) with the Securities and Exchange Commission on February</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 2022)##</w:t>
            </w:r>
          </w:p>
        </w:tc>
        <w:tc>
          <w:tcPr>
            <w:tcW w:w="0" w:type="dxa"/>
            <w:vAlign w:val="bottom"/>
          </w:tcPr>
          <w:p>
            <w:pPr>
              <w:spacing w:after="0"/>
              <w:rPr>
                <w:sz w:val="1"/>
                <w:szCs w:val="1"/>
                <w:color w:val="auto"/>
              </w:rPr>
            </w:pPr>
          </w:p>
        </w:tc>
      </w:tr>
      <w:tr>
        <w:trPr>
          <w:trHeight w:val="175"/>
        </w:trPr>
        <w:tc>
          <w:tcPr>
            <w:tcW w:w="800" w:type="dxa"/>
            <w:vAlign w:val="bottom"/>
            <w:gridSpan w:val="4"/>
          </w:tcPr>
          <w:p>
            <w:pPr>
              <w:jc w:val="center"/>
              <w:ind w:left="220"/>
              <w:spacing w:after="0" w:line="175" w:lineRule="exact"/>
              <w:rPr>
                <w:rFonts w:ascii="Arial" w:cs="Arial" w:eastAsia="Arial" w:hAnsi="Arial"/>
                <w:sz w:val="16"/>
                <w:szCs w:val="16"/>
                <w:color w:val="0000FF"/>
                <w:w w:val="94"/>
              </w:rPr>
            </w:pPr>
            <w:hyperlink r:id="rId177">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24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5"/>
              </w:rPr>
              <w:t>Operating Agreement of Flash Alliance, Ltd., dated as of July 7, 2006, by and between Toshiba Corporation and SanDisk (Ireland) Limited (Filed as</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7"/>
              </w:rPr>
              <w:t>Exhibit 10.7 to the Company’s Quarterly Report on Form 10-Q (File No. 1-08703) with the Securities and Exchange Commission on February 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85"/>
        </w:trPr>
        <w:tc>
          <w:tcPr>
            <w:tcW w:w="800" w:type="dxa"/>
            <w:vAlign w:val="bottom"/>
            <w:gridSpan w:val="4"/>
            <w:shd w:val="clear" w:color="auto" w:fill="CCEEFF"/>
          </w:tcPr>
          <w:p>
            <w:pPr>
              <w:jc w:val="center"/>
              <w:ind w:left="220"/>
              <w:spacing w:after="0"/>
              <w:rPr>
                <w:rFonts w:ascii="Arial" w:cs="Arial" w:eastAsia="Arial" w:hAnsi="Arial"/>
                <w:sz w:val="16"/>
                <w:szCs w:val="16"/>
                <w:color w:val="0000FF"/>
                <w:w w:val="94"/>
              </w:rPr>
            </w:pPr>
            <w:hyperlink r:id="rId178">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25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Joint Venture Restructure Agreement, dated as of January 29, 2009, by and among SanDisk Corporation, SanDisk (Ireland) Limited, SanDisk (Cayman)</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4"/>
              </w:rPr>
              <w:t>Limited, Toshiba Corporation, Flash Partners Limited and Flash Alliance Limited (Filed as Exhibit 10.1 to SanDisk Corporation’s Quarterly Report on</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 10-Q (File No. 000-26734) with the Securities and Exchange Commission on May 7, 2009)#</w:t>
            </w:r>
          </w:p>
        </w:tc>
        <w:tc>
          <w:tcPr>
            <w:tcW w:w="0" w:type="dxa"/>
            <w:vAlign w:val="bottom"/>
          </w:tcPr>
          <w:p>
            <w:pPr>
              <w:spacing w:after="0"/>
              <w:rPr>
                <w:sz w:val="1"/>
                <w:szCs w:val="1"/>
                <w:color w:val="auto"/>
              </w:rPr>
            </w:pPr>
          </w:p>
        </w:tc>
      </w:tr>
      <w:tr>
        <w:trPr>
          <w:trHeight w:val="175"/>
        </w:trPr>
        <w:tc>
          <w:tcPr>
            <w:tcW w:w="800" w:type="dxa"/>
            <w:vAlign w:val="bottom"/>
            <w:gridSpan w:val="4"/>
          </w:tcPr>
          <w:p>
            <w:pPr>
              <w:jc w:val="center"/>
              <w:ind w:left="220"/>
              <w:spacing w:after="0" w:line="175" w:lineRule="exact"/>
              <w:rPr>
                <w:rFonts w:ascii="Arial" w:cs="Arial" w:eastAsia="Arial" w:hAnsi="Arial"/>
                <w:sz w:val="16"/>
                <w:szCs w:val="16"/>
                <w:color w:val="0000FF"/>
                <w:w w:val="94"/>
              </w:rPr>
            </w:pPr>
            <w:hyperlink r:id="rId179">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26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6"/>
              </w:rPr>
              <w:t>New Y2 Facility Agreement, dated October 20, 2015, by and among SanDisk Corporation, SanDisk (Ireland) Limited, SanDisk (Cayman) Limited,</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3"/>
              </w:rPr>
              <w:t>SanDisk Flash B.V., Toshiba Corporation, Flash Partners Limited, Flash Alliance Limited and Flash Forward Limited (Filed as Exhibit 10.37 to SanDisk</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Corporation’s Annual Report on Form 10-K (File No. 000-26734) with the Securities and Exchange Commission on February 12, 2016)#</w:t>
            </w:r>
          </w:p>
        </w:tc>
        <w:tc>
          <w:tcPr>
            <w:tcW w:w="0" w:type="dxa"/>
            <w:vAlign w:val="bottom"/>
          </w:tcPr>
          <w:p>
            <w:pPr>
              <w:spacing w:after="0"/>
              <w:rPr>
                <w:sz w:val="1"/>
                <w:szCs w:val="1"/>
                <w:color w:val="auto"/>
              </w:rPr>
            </w:pPr>
          </w:p>
        </w:tc>
      </w:tr>
      <w:tr>
        <w:trPr>
          <w:trHeight w:val="185"/>
        </w:trPr>
        <w:tc>
          <w:tcPr>
            <w:tcW w:w="800" w:type="dxa"/>
            <w:vAlign w:val="bottom"/>
            <w:gridSpan w:val="4"/>
            <w:shd w:val="clear" w:color="auto" w:fill="CCEEFF"/>
          </w:tcPr>
          <w:p>
            <w:pPr>
              <w:jc w:val="center"/>
              <w:ind w:left="220"/>
              <w:spacing w:after="0"/>
              <w:rPr>
                <w:rFonts w:ascii="Arial" w:cs="Arial" w:eastAsia="Arial" w:hAnsi="Arial"/>
                <w:sz w:val="16"/>
                <w:szCs w:val="16"/>
                <w:color w:val="0000FF"/>
                <w:w w:val="94"/>
              </w:rPr>
            </w:pPr>
            <w:hyperlink r:id="rId180">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27</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FAL Commitment and Extension Agreement, dated as of December 12, 2017, by and among Western Digital Corporation, SanDisk LLC, SanDisk</w:t>
            </w:r>
          </w:p>
        </w:tc>
        <w:tc>
          <w:tcPr>
            <w:tcW w:w="0" w:type="dxa"/>
            <w:vAlign w:val="bottom"/>
          </w:tcPr>
          <w:p>
            <w:pPr>
              <w:spacing w:after="0"/>
              <w:rPr>
                <w:sz w:val="1"/>
                <w:szCs w:val="1"/>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5"/>
              </w:rPr>
              <w:t>(Ireland) Limited and Toshiba Memory Corporation (Filed as Exhibit 10.6 to the Company’s Quarterly Report on Form 10-Q (File No. 1-08703) with</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Securities and Exchange Commission on February 6, 2018)#</w:t>
            </w:r>
          </w:p>
        </w:tc>
        <w:tc>
          <w:tcPr>
            <w:tcW w:w="0" w:type="dxa"/>
            <w:vAlign w:val="bottom"/>
          </w:tcPr>
          <w:p>
            <w:pPr>
              <w:spacing w:after="0"/>
              <w:rPr>
                <w:sz w:val="1"/>
                <w:szCs w:val="1"/>
                <w:color w:val="auto"/>
              </w:rPr>
            </w:pPr>
          </w:p>
        </w:tc>
      </w:tr>
      <w:tr>
        <w:trPr>
          <w:trHeight w:val="175"/>
        </w:trPr>
        <w:tc>
          <w:tcPr>
            <w:tcW w:w="800" w:type="dxa"/>
            <w:vAlign w:val="bottom"/>
            <w:gridSpan w:val="4"/>
          </w:tcPr>
          <w:p>
            <w:pPr>
              <w:jc w:val="center"/>
              <w:ind w:left="220"/>
              <w:spacing w:after="0" w:line="175" w:lineRule="exact"/>
              <w:rPr>
                <w:rFonts w:ascii="Arial" w:cs="Arial" w:eastAsia="Arial" w:hAnsi="Arial"/>
                <w:sz w:val="16"/>
                <w:szCs w:val="16"/>
                <w:color w:val="0000FF"/>
                <w:w w:val="94"/>
              </w:rPr>
            </w:pPr>
            <w:hyperlink r:id="rId181">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28</w:t>
              </w:r>
            </w:hyperlink>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8"/>
              </w:rPr>
              <w:t>Y6 Facility Agreement, dated as of December 12, 2017, by and among Western Digital Corporation, SanDisk LLC, SanDisk (Cayman) Limited,</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4"/>
              </w:rPr>
              <w:t>SanDisk (Ireland) Limited, SanDisk Flash B.V., Flash Partners, Ltd., Flash Alliance, Ltd., Flash Forward, Ltd. and Toshiba Memory Corporation (Filed</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5"/>
              </w:rPr>
              <w:t>as Exhibit 10.7 to the Company’s Quarterly Report on Form 10-Q (File No. 1-08703) with the Securities and Exchange Commission on February 6,</w:t>
            </w: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6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20" w:type="dxa"/>
            <w:vAlign w:val="bottom"/>
            <w:tcBorders>
              <w:top w:val="single" w:sz="8" w:color="auto"/>
            </w:tcBorders>
            <w:gridSpan w:val="3"/>
            <w:shd w:val="clear" w:color="auto" w:fill="CCEEFF"/>
          </w:tcPr>
          <w:p>
            <w:pPr>
              <w:jc w:val="center"/>
              <w:ind w:right="20"/>
              <w:spacing w:after="0" w:line="175" w:lineRule="exact"/>
              <w:rPr>
                <w:rFonts w:ascii="Arial" w:cs="Arial" w:eastAsia="Arial" w:hAnsi="Arial"/>
                <w:sz w:val="16"/>
                <w:szCs w:val="16"/>
                <w:color w:val="0000FF"/>
                <w:w w:val="94"/>
              </w:rPr>
            </w:pPr>
            <w:hyperlink r:id="rId183">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29</w:t>
              </w:r>
            </w:hyperlink>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6"/>
                <w:szCs w:val="16"/>
                <w:color w:val="auto"/>
                <w:w w:val="98"/>
              </w:rPr>
              <w:t>K1 Facility Agreement, dated as of May 15, 2019, by and among Western Digital, SanDisk LLC, SanDisk (Cayman) Limited, SanDisk (Ireland)</w:t>
            </w:r>
          </w:p>
        </w:tc>
        <w:tc>
          <w:tcPr>
            <w:tcW w:w="0" w:type="dxa"/>
            <w:vAlign w:val="bottom"/>
          </w:tcPr>
          <w:p>
            <w:pPr>
              <w:spacing w:after="0"/>
              <w:rPr>
                <w:sz w:val="1"/>
                <w:szCs w:val="1"/>
                <w:color w:val="auto"/>
              </w:rPr>
            </w:pPr>
          </w:p>
        </w:tc>
      </w:tr>
      <w:tr>
        <w:trPr>
          <w:trHeight w:val="173"/>
        </w:trPr>
        <w:tc>
          <w:tcPr>
            <w:tcW w:w="3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8"/>
              </w:rPr>
              <w:t>Limited, SanDisk Flash B.V., Flash Partners, Ltd., Flash Alliance, Ltd., Flash Forward Ltd., Toshiba Memory Corporation and Toshiba Memory</w:t>
            </w:r>
          </w:p>
        </w:tc>
        <w:tc>
          <w:tcPr>
            <w:tcW w:w="0" w:type="dxa"/>
            <w:vAlign w:val="bottom"/>
          </w:tcPr>
          <w:p>
            <w:pPr>
              <w:spacing w:after="0"/>
              <w:rPr>
                <w:sz w:val="1"/>
                <w:szCs w:val="1"/>
                <w:color w:val="auto"/>
              </w:rPr>
            </w:pPr>
          </w:p>
        </w:tc>
      </w:tr>
      <w:tr>
        <w:trPr>
          <w:trHeight w:val="176"/>
        </w:trPr>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9"/>
              </w:rPr>
              <w:t>Corporation Iwate (Filed as Exhibit 10.21 to the Company’s Annual Report on Form 10-K (File No. 1-08703) with the Securities and Exchange</w:t>
            </w:r>
          </w:p>
        </w:tc>
        <w:tc>
          <w:tcPr>
            <w:tcW w:w="0" w:type="dxa"/>
            <w:vAlign w:val="bottom"/>
          </w:tcPr>
          <w:p>
            <w:pPr>
              <w:spacing w:after="0"/>
              <w:rPr>
                <w:sz w:val="1"/>
                <w:szCs w:val="1"/>
                <w:color w:val="auto"/>
              </w:rPr>
            </w:pPr>
          </w:p>
        </w:tc>
      </w:tr>
      <w:tr>
        <w:trPr>
          <w:trHeight w:val="219"/>
        </w:trPr>
        <w:tc>
          <w:tcPr>
            <w:tcW w:w="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Commission on August 27, 2019)##</w:t>
            </w:r>
          </w:p>
        </w:tc>
        <w:tc>
          <w:tcPr>
            <w:tcW w:w="0" w:type="dxa"/>
            <w:vAlign w:val="bottom"/>
          </w:tcPr>
          <w:p>
            <w:pPr>
              <w:spacing w:after="0"/>
              <w:rPr>
                <w:sz w:val="1"/>
                <w:szCs w:val="1"/>
                <w:color w:val="auto"/>
              </w:rPr>
            </w:pPr>
          </w:p>
        </w:tc>
      </w:tr>
      <w:tr>
        <w:trPr>
          <w:trHeight w:val="175"/>
        </w:trPr>
        <w:tc>
          <w:tcPr>
            <w:tcW w:w="1120" w:type="dxa"/>
            <w:vAlign w:val="bottom"/>
            <w:gridSpan w:val="3"/>
          </w:tcPr>
          <w:p>
            <w:pPr>
              <w:jc w:val="center"/>
              <w:ind w:right="20"/>
              <w:spacing w:after="0" w:line="175" w:lineRule="exact"/>
              <w:rPr>
                <w:rFonts w:ascii="Arial" w:cs="Arial" w:eastAsia="Arial" w:hAnsi="Arial"/>
                <w:sz w:val="16"/>
                <w:szCs w:val="16"/>
                <w:color w:val="0000FF"/>
                <w:w w:val="94"/>
              </w:rPr>
            </w:pPr>
            <w:hyperlink r:id="rId184">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30</w:t>
            </w: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4"/>
              </w:rPr>
              <w:t>Confidential Settlement and Mutual Release Agreement, dated as of December 12, 2017, by and among Western Digital Corporation, SanDisk LLC,</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5"/>
              </w:rPr>
              <w:t>SanDisk (Cayman) Limited, SanDisk (Ireland) Limited, SanDisk Flash B.V., Toshiba Corporation and Toshiba Memory Corporation (Filed as Exhibit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7"/>
              </w:rPr>
              <w:t>10.8 to the Company’s Quarterly Report on Form 10-Q (File No. 1-08703) with the Securities and Exchange Commission on February 6, 2018)#</w:t>
            </w:r>
          </w:p>
        </w:tc>
        <w:tc>
          <w:tcPr>
            <w:tcW w:w="0" w:type="dxa"/>
            <w:vAlign w:val="bottom"/>
          </w:tcPr>
          <w:p>
            <w:pPr>
              <w:spacing w:after="0"/>
              <w:rPr>
                <w:sz w:val="1"/>
                <w:szCs w:val="1"/>
                <w:color w:val="auto"/>
              </w:rPr>
            </w:pPr>
          </w:p>
        </w:tc>
      </w:tr>
      <w:tr>
        <w:trPr>
          <w:trHeight w:val="185"/>
        </w:trPr>
        <w:tc>
          <w:tcPr>
            <w:tcW w:w="1120" w:type="dxa"/>
            <w:vAlign w:val="bottom"/>
            <w:gridSpan w:val="3"/>
            <w:shd w:val="clear" w:color="auto" w:fill="CCEEFF"/>
          </w:tcPr>
          <w:p>
            <w:pPr>
              <w:jc w:val="center"/>
              <w:ind w:right="20"/>
              <w:spacing w:after="0"/>
              <w:rPr>
                <w:rFonts w:ascii="Arial" w:cs="Arial" w:eastAsia="Arial" w:hAnsi="Arial"/>
                <w:sz w:val="16"/>
                <w:szCs w:val="16"/>
                <w:color w:val="0000FF"/>
                <w:w w:val="94"/>
              </w:rPr>
            </w:pPr>
            <w:hyperlink r:id="rId185">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31</w:t>
            </w: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Confidential Settlement and Mutual Release Agreement, dated as of December 12, 2017, by and among Western Digital Corporation, SanDisk LLC,</w:t>
            </w:r>
          </w:p>
        </w:tc>
        <w:tc>
          <w:tcPr>
            <w:tcW w:w="0" w:type="dxa"/>
            <w:vAlign w:val="bottom"/>
          </w:tcPr>
          <w:p>
            <w:pPr>
              <w:spacing w:after="0"/>
              <w:rPr>
                <w:sz w:val="1"/>
                <w:szCs w:val="1"/>
                <w:color w:val="auto"/>
              </w:rPr>
            </w:pPr>
          </w:p>
        </w:tc>
      </w:tr>
      <w:tr>
        <w:trPr>
          <w:trHeight w:val="173"/>
        </w:trPr>
        <w:tc>
          <w:tcPr>
            <w:tcW w:w="3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6"/>
              </w:rPr>
              <w:t>SanDisk (Cayman) Limited, SanDisk (Ireland) Limited, SanDisk Flash B.V., Bain Capital Private Equity, L.P., BCPE Pangea Cayman, L.P., BCPE</w:t>
            </w:r>
          </w:p>
        </w:tc>
        <w:tc>
          <w:tcPr>
            <w:tcW w:w="0" w:type="dxa"/>
            <w:vAlign w:val="bottom"/>
          </w:tcPr>
          <w:p>
            <w:pPr>
              <w:spacing w:after="0"/>
              <w:rPr>
                <w:sz w:val="1"/>
                <w:szCs w:val="1"/>
                <w:color w:val="auto"/>
              </w:rPr>
            </w:pPr>
          </w:p>
        </w:tc>
      </w:tr>
      <w:tr>
        <w:trPr>
          <w:trHeight w:val="176"/>
        </w:trPr>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3"/>
              </w:rPr>
              <w:t>Pangea Cayman2, Ltd., Bain Capital Fund XII, L.P., Bain Capital Asia Fund III, L.P. and K.K. Pangea (Filed as Exhibit 10.9 to the Company’s Quarterly</w:t>
            </w:r>
          </w:p>
        </w:tc>
        <w:tc>
          <w:tcPr>
            <w:tcW w:w="0" w:type="dxa"/>
            <w:vAlign w:val="bottom"/>
          </w:tcPr>
          <w:p>
            <w:pPr>
              <w:spacing w:after="0"/>
              <w:rPr>
                <w:sz w:val="1"/>
                <w:szCs w:val="1"/>
                <w:color w:val="auto"/>
              </w:rPr>
            </w:pPr>
          </w:p>
        </w:tc>
      </w:tr>
      <w:tr>
        <w:trPr>
          <w:trHeight w:val="219"/>
        </w:trPr>
        <w:tc>
          <w:tcPr>
            <w:tcW w:w="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Report on Form 10-Q (File No. 1-08703) with the Securities and Exchange Commission on February 6, 2018)#</w:t>
            </w:r>
          </w:p>
        </w:tc>
        <w:tc>
          <w:tcPr>
            <w:tcW w:w="0" w:type="dxa"/>
            <w:vAlign w:val="bottom"/>
          </w:tcPr>
          <w:p>
            <w:pPr>
              <w:spacing w:after="0"/>
              <w:rPr>
                <w:sz w:val="1"/>
                <w:szCs w:val="1"/>
                <w:color w:val="auto"/>
              </w:rPr>
            </w:pPr>
          </w:p>
        </w:tc>
      </w:tr>
      <w:tr>
        <w:trPr>
          <w:trHeight w:val="176"/>
        </w:trPr>
        <w:tc>
          <w:tcPr>
            <w:tcW w:w="1120" w:type="dxa"/>
            <w:vAlign w:val="bottom"/>
            <w:gridSpan w:val="3"/>
          </w:tcPr>
          <w:p>
            <w:pPr>
              <w:jc w:val="center"/>
              <w:ind w:right="20"/>
              <w:spacing w:after="0" w:line="175" w:lineRule="exact"/>
              <w:rPr>
                <w:rFonts w:ascii="Arial" w:cs="Arial" w:eastAsia="Arial" w:hAnsi="Arial"/>
                <w:sz w:val="16"/>
                <w:szCs w:val="16"/>
                <w:color w:val="0000FF"/>
                <w:w w:val="94"/>
              </w:rPr>
            </w:pPr>
            <w:hyperlink r:id="rId186">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32</w:t>
            </w: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5"/>
              </w:rPr>
              <w:t>Flash Forward Master Agreement, dated as of July 13, 2010, entered into by and among, on one side, Toshiba Corporation and, on the other side,</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7"/>
              </w:rPr>
              <w:t>SanDisk Corporation, and SanDisk Flash B.V. (Filed as Exhibit 10.26 to the Company’s Annual Report on Form 10-K (File No. 1-08703) with the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Securities and Exchange Commission on August 25, 2022)##</w:t>
            </w:r>
          </w:p>
        </w:tc>
        <w:tc>
          <w:tcPr>
            <w:tcW w:w="0" w:type="dxa"/>
            <w:vAlign w:val="bottom"/>
          </w:tcPr>
          <w:p>
            <w:pPr>
              <w:spacing w:after="0"/>
              <w:rPr>
                <w:sz w:val="1"/>
                <w:szCs w:val="1"/>
                <w:color w:val="auto"/>
              </w:rPr>
            </w:pPr>
          </w:p>
        </w:tc>
      </w:tr>
      <w:tr>
        <w:trPr>
          <w:trHeight w:val="185"/>
        </w:trPr>
        <w:tc>
          <w:tcPr>
            <w:tcW w:w="1120" w:type="dxa"/>
            <w:vAlign w:val="bottom"/>
            <w:gridSpan w:val="3"/>
            <w:shd w:val="clear" w:color="auto" w:fill="CCEEFF"/>
          </w:tcPr>
          <w:p>
            <w:pPr>
              <w:jc w:val="center"/>
              <w:ind w:right="20"/>
              <w:spacing w:after="0"/>
              <w:rPr>
                <w:rFonts w:ascii="Arial" w:cs="Arial" w:eastAsia="Arial" w:hAnsi="Arial"/>
                <w:sz w:val="16"/>
                <w:szCs w:val="16"/>
                <w:color w:val="0000FF"/>
                <w:w w:val="94"/>
              </w:rPr>
            </w:pPr>
            <w:hyperlink r:id="rId187">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33</w:t>
            </w: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Operating Agreement of Flash Forward, Ltd, dated as of March 1, 2011, between Toshiba Corporation and SanDisk Flash B.V. (Filed as Exhibit 10.27 to</w:t>
            </w:r>
          </w:p>
        </w:tc>
        <w:tc>
          <w:tcPr>
            <w:tcW w:w="0" w:type="dxa"/>
            <w:vAlign w:val="bottom"/>
          </w:tcPr>
          <w:p>
            <w:pPr>
              <w:spacing w:after="0"/>
              <w:rPr>
                <w:sz w:val="1"/>
                <w:szCs w:val="1"/>
                <w:color w:val="auto"/>
              </w:rPr>
            </w:pPr>
          </w:p>
        </w:tc>
      </w:tr>
      <w:tr>
        <w:trPr>
          <w:trHeight w:val="203"/>
        </w:trPr>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0000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 Company’s Annual Report on Form 10-K (File No. 1-08703) with the Securities and Exchange Commission on August 25, 2022)##</w:t>
            </w:r>
          </w:p>
        </w:tc>
        <w:tc>
          <w:tcPr>
            <w:tcW w:w="0" w:type="dxa"/>
            <w:vAlign w:val="bottom"/>
          </w:tcPr>
          <w:p>
            <w:pPr>
              <w:spacing w:after="0"/>
              <w:rPr>
                <w:sz w:val="1"/>
                <w:szCs w:val="1"/>
                <w:color w:val="auto"/>
              </w:rPr>
            </w:pPr>
          </w:p>
        </w:tc>
      </w:tr>
      <w:tr>
        <w:trPr>
          <w:trHeight w:val="175"/>
        </w:trPr>
        <w:tc>
          <w:tcPr>
            <w:tcW w:w="1120" w:type="dxa"/>
            <w:vAlign w:val="bottom"/>
            <w:gridSpan w:val="3"/>
          </w:tcPr>
          <w:p>
            <w:pPr>
              <w:jc w:val="center"/>
              <w:ind w:right="20"/>
              <w:spacing w:after="0" w:line="175" w:lineRule="exact"/>
              <w:rPr>
                <w:rFonts w:ascii="Arial" w:cs="Arial" w:eastAsia="Arial" w:hAnsi="Arial"/>
                <w:sz w:val="16"/>
                <w:szCs w:val="16"/>
                <w:color w:val="0000FF"/>
                <w:w w:val="94"/>
              </w:rPr>
            </w:pPr>
            <w:hyperlink r:id="rId188">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34</w:t>
            </w: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rPr>
              <w:t>FFL Commitment and Extension Agreement, dated as of December 12, 2017, by and among Toshiba Memory Corporation, Western Digital</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3" w:lineRule="exact"/>
              <w:rPr>
                <w:sz w:val="20"/>
                <w:szCs w:val="20"/>
                <w:color w:val="auto"/>
              </w:rPr>
            </w:pPr>
            <w:r>
              <w:rPr>
                <w:rFonts w:ascii="Arial" w:cs="Arial" w:eastAsia="Arial" w:hAnsi="Arial"/>
                <w:sz w:val="16"/>
                <w:szCs w:val="16"/>
                <w:color w:val="auto"/>
                <w:w w:val="94"/>
              </w:rPr>
              <w:t>Corporation, SanDisk LLC and SanDisk Flash B.V. (Filed as Exhibit 10.28 to the Company’s Annual Report on Form 10-K (File No. 1-08703) with the</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Securities and Exchange Commission on August 25, 2022)##</w:t>
            </w:r>
          </w:p>
        </w:tc>
        <w:tc>
          <w:tcPr>
            <w:tcW w:w="0" w:type="dxa"/>
            <w:vAlign w:val="bottom"/>
          </w:tcPr>
          <w:p>
            <w:pPr>
              <w:spacing w:after="0"/>
              <w:rPr>
                <w:sz w:val="1"/>
                <w:szCs w:val="1"/>
                <w:color w:val="auto"/>
              </w:rPr>
            </w:pPr>
          </w:p>
        </w:tc>
      </w:tr>
      <w:tr>
        <w:trPr>
          <w:trHeight w:val="195"/>
        </w:trPr>
        <w:tc>
          <w:tcPr>
            <w:tcW w:w="1120" w:type="dxa"/>
            <w:vAlign w:val="bottom"/>
            <w:gridSpan w:val="3"/>
          </w:tcPr>
          <w:p>
            <w:pPr>
              <w:jc w:val="center"/>
              <w:ind w:right="20"/>
              <w:spacing w:after="0"/>
              <w:rPr>
                <w:rFonts w:ascii="Arial" w:cs="Arial" w:eastAsia="Arial" w:hAnsi="Arial"/>
                <w:sz w:val="16"/>
                <w:szCs w:val="16"/>
                <w:color w:val="0000FF"/>
                <w:w w:val="94"/>
              </w:rPr>
            </w:pPr>
            <w:hyperlink r:id="rId189">
              <w:r>
                <w:rPr>
                  <w:rFonts w:ascii="Arial" w:cs="Arial" w:eastAsia="Arial" w:hAnsi="Arial"/>
                  <w:sz w:val="16"/>
                  <w:szCs w:val="16"/>
                  <w:color w:val="0000FF"/>
                  <w:w w:val="94"/>
                </w:rPr>
                <w:t>10.</w:t>
              </w:r>
            </w:hyperlink>
            <w:r>
              <w:rPr>
                <w:rFonts w:ascii="Arial" w:cs="Arial" w:eastAsia="Arial" w:hAnsi="Arial"/>
                <w:sz w:val="16"/>
                <w:szCs w:val="16"/>
                <w:u w:val="single" w:color="auto"/>
                <w:color w:val="0000FF"/>
                <w:w w:val="94"/>
              </w:rPr>
              <w:t>35</w:t>
            </w: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4"/>
              </w:rPr>
              <w:t>FFL Second Commitment and Extension Agreement, dated as of May 15, 2019, by and among Toshiba Memory Corporation, Toshiba Memory Iwate</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5"/>
              </w:rPr>
              <w:t>Corporation, Western Digital Corporation, SanDisk LLC, SanDisk (Cayman) Limited, SanDisk (Ireland) Limited, SanDisk Flash B.V., Flash Partners,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-241935</wp:posOffset>
            </wp:positionV>
            <wp:extent cx="7106285" cy="4972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0">
                      <a:extLst>
                        <a:ext uri="{28A0092B-C50C-407E-A947-70E740481C1C}"/>
                      </a:extLst>
                    </a:blip>
                    <a:srcRect/>
                    <a:stretch>
                      <a:fillRect/>
                    </a:stretch>
                  </pic:blipFill>
                  <pic:spPr bwMode="auto">
                    <a:xfrm>
                      <a:off x="0" y="0"/>
                      <a:ext cx="7106285" cy="497205"/>
                    </a:xfrm>
                    <a:prstGeom prst="rect">
                      <a:avLst/>
                    </a:prstGeom>
                    <a:noFill/>
                  </pic:spPr>
                </pic:pic>
              </a:graphicData>
            </a:graphic>
          </wp:anchor>
        </w:drawing>
      </w:r>
    </w:p>
    <w:p>
      <w:pPr>
        <w:ind w:left="1280" w:right="160"/>
        <w:spacing w:after="0" w:line="239" w:lineRule="auto"/>
        <w:rPr>
          <w:sz w:val="20"/>
          <w:szCs w:val="20"/>
          <w:color w:val="auto"/>
        </w:rPr>
      </w:pPr>
      <w:r>
        <w:rPr>
          <w:rFonts w:ascii="Arial" w:cs="Arial" w:eastAsia="Arial" w:hAnsi="Arial"/>
          <w:sz w:val="16"/>
          <w:szCs w:val="16"/>
          <w:color w:val="auto"/>
        </w:rPr>
        <w:t>Ltd., Flash Alliance, Ltd., and Flash Forward, Ltd. (Filed as Exhibit 10.29 to the Company’s Annual Report on Form 10-K (File No. 1-08703) with the Securities and Exchange Commission on August 25, 2022)##</w:t>
      </w:r>
    </w:p>
    <w:p>
      <w:pPr>
        <w:spacing w:after="0" w:line="38" w:lineRule="exact"/>
        <w:rPr>
          <w:sz w:val="20"/>
          <w:szCs w:val="20"/>
          <w:color w:val="auto"/>
        </w:rPr>
      </w:pPr>
    </w:p>
    <w:p>
      <w:pPr>
        <w:ind w:left="1280" w:hanging="773"/>
        <w:spacing w:after="0"/>
        <w:tabs>
          <w:tab w:leader="none" w:pos="1280" w:val="left"/>
        </w:tabs>
        <w:numPr>
          <w:ilvl w:val="0"/>
          <w:numId w:val="20"/>
        </w:numPr>
        <w:rPr>
          <w:rFonts w:ascii="Arial" w:cs="Arial" w:eastAsia="Arial" w:hAnsi="Arial"/>
          <w:sz w:val="16"/>
          <w:szCs w:val="16"/>
          <w:u w:val="single" w:color="auto"/>
          <w:color w:val="0000FF"/>
        </w:rPr>
      </w:pPr>
      <w:r>
        <w:rPr>
          <w:rFonts w:ascii="Arial" w:cs="Arial" w:eastAsia="Arial" w:hAnsi="Arial"/>
          <w:sz w:val="16"/>
          <w:szCs w:val="16"/>
          <w:color w:val="auto"/>
        </w:rPr>
        <w:t>Subsidiaries of Western Digital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ind w:left="1280" w:hanging="773"/>
        <w:spacing w:after="0"/>
        <w:tabs>
          <w:tab w:leader="none" w:pos="1280" w:val="left"/>
        </w:tabs>
        <w:numPr>
          <w:ilvl w:val="0"/>
          <w:numId w:val="21"/>
        </w:numPr>
        <w:rPr>
          <w:rFonts w:ascii="Arial" w:cs="Arial" w:eastAsia="Arial" w:hAnsi="Arial"/>
          <w:sz w:val="16"/>
          <w:szCs w:val="16"/>
          <w:u w:val="single" w:color="auto"/>
          <w:color w:val="0000FF"/>
        </w:rPr>
      </w:pPr>
      <w:r>
        <w:rPr>
          <w:rFonts w:ascii="Arial" w:cs="Arial" w:eastAsia="Arial" w:hAnsi="Arial"/>
          <w:sz w:val="16"/>
          <w:szCs w:val="16"/>
          <w:color w:val="auto"/>
        </w:rPr>
        <w:t>Consent of Independent Registered Public Accounting Firm†</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00" w:type="dxa"/>
            <w:vAlign w:val="bottom"/>
            <w:gridSpan w:val="2"/>
          </w:tcPr>
          <w:p>
            <w:pPr>
              <w:jc w:val="center"/>
              <w:ind w:left="319"/>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p>
        </w:tc>
        <w:tc>
          <w:tcPr>
            <w:tcW w:w="340" w:type="dxa"/>
            <w:vAlign w:val="bottom"/>
          </w:tcPr>
          <w:p>
            <w:pPr>
              <w:spacing w:after="0"/>
              <w:rPr>
                <w:sz w:val="16"/>
                <w:szCs w:val="16"/>
                <w:color w:val="auto"/>
              </w:rPr>
            </w:pPr>
          </w:p>
        </w:tc>
        <w:tc>
          <w:tcPr>
            <w:tcW w:w="10140" w:type="dxa"/>
            <w:vAlign w:val="bottom"/>
          </w:tcPr>
          <w:p>
            <w:pPr>
              <w:ind w:left="200"/>
              <w:spacing w:after="0"/>
              <w:rPr>
                <w:sz w:val="20"/>
                <w:szCs w:val="20"/>
                <w:color w:val="auto"/>
              </w:rPr>
            </w:pPr>
            <w:r>
              <w:rPr>
                <w:rFonts w:ascii="Arial" w:cs="Arial" w:eastAsia="Arial" w:hAnsi="Arial"/>
                <w:sz w:val="16"/>
                <w:szCs w:val="16"/>
                <w:color w:val="auto"/>
              </w:rPr>
              <w:t>Certification of Principal Executive Officer Pursuant to Section 302 of the Sarbanes-Oxley Act of 2002†</w:t>
            </w:r>
          </w:p>
        </w:tc>
      </w:tr>
      <w:tr>
        <w:trPr>
          <w:trHeight w:val="21"/>
        </w:trPr>
        <w:tc>
          <w:tcPr>
            <w:tcW w:w="40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r>
      <w:tr>
        <w:trPr>
          <w:trHeight w:val="196"/>
        </w:trPr>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0000FF"/>
            </w:tcBorders>
            <w:shd w:val="clear" w:color="auto" w:fill="CCEEFF"/>
          </w:tcPr>
          <w:p>
            <w:pPr>
              <w:jc w:val="center"/>
              <w:spacing w:after="0" w:line="175" w:lineRule="exact"/>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p>
        </w:tc>
        <w:tc>
          <w:tcPr>
            <w:tcW w:w="340" w:type="dxa"/>
            <w:vAlign w:val="bottom"/>
            <w:tcBorders>
              <w:bottom w:val="single" w:sz="8" w:color="CCEEFF"/>
            </w:tcBorders>
            <w:shd w:val="clear" w:color="auto" w:fill="CCEEFF"/>
          </w:tcPr>
          <w:p>
            <w:pPr>
              <w:spacing w:after="0"/>
              <w:rPr>
                <w:sz w:val="17"/>
                <w:szCs w:val="17"/>
                <w:color w:val="auto"/>
              </w:rPr>
            </w:pPr>
          </w:p>
        </w:tc>
        <w:tc>
          <w:tcPr>
            <w:tcW w:w="10140" w:type="dxa"/>
            <w:vAlign w:val="bottom"/>
            <w:tcBorders>
              <w:bottom w:val="single" w:sz="8" w:color="CCEEFF"/>
            </w:tcBorders>
            <w:shd w:val="clear" w:color="auto" w:fill="CCEEFF"/>
          </w:tcPr>
          <w:p>
            <w:pPr>
              <w:ind w:left="200"/>
              <w:spacing w:after="0" w:line="175" w:lineRule="exact"/>
              <w:rPr>
                <w:sz w:val="20"/>
                <w:szCs w:val="20"/>
                <w:color w:val="auto"/>
              </w:rPr>
            </w:pPr>
            <w:r>
              <w:rPr>
                <w:rFonts w:ascii="Arial" w:cs="Arial" w:eastAsia="Arial" w:hAnsi="Arial"/>
                <w:sz w:val="16"/>
                <w:szCs w:val="16"/>
                <w:color w:val="auto"/>
              </w:rPr>
              <w:t>Certification of Principal Financial Officer Pursuant to Section 302 of the Sarbanes-Oxley Act of 2002†</w:t>
            </w:r>
          </w:p>
        </w:tc>
      </w:tr>
      <w:tr>
        <w:trPr>
          <w:trHeight w:val="175"/>
        </w:trPr>
        <w:tc>
          <w:tcPr>
            <w:tcW w:w="700" w:type="dxa"/>
            <w:vAlign w:val="bottom"/>
            <w:gridSpan w:val="2"/>
          </w:tcPr>
          <w:p>
            <w:pPr>
              <w:jc w:val="center"/>
              <w:ind w:left="319"/>
              <w:spacing w:after="0" w:line="175" w:lineRule="exact"/>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p>
        </w:tc>
        <w:tc>
          <w:tcPr>
            <w:tcW w:w="340" w:type="dxa"/>
            <w:vAlign w:val="bottom"/>
          </w:tcPr>
          <w:p>
            <w:pPr>
              <w:spacing w:after="0"/>
              <w:rPr>
                <w:sz w:val="15"/>
                <w:szCs w:val="15"/>
                <w:color w:val="auto"/>
              </w:rPr>
            </w:pPr>
          </w:p>
        </w:tc>
        <w:tc>
          <w:tcPr>
            <w:tcW w:w="10140" w:type="dxa"/>
            <w:vAlign w:val="bottom"/>
          </w:tcPr>
          <w:p>
            <w:pPr>
              <w:ind w:left="200"/>
              <w:spacing w:after="0" w:line="175" w:lineRule="exact"/>
              <w:rPr>
                <w:sz w:val="20"/>
                <w:szCs w:val="20"/>
                <w:color w:val="auto"/>
              </w:rPr>
            </w:pPr>
            <w:r>
              <w:rPr>
                <w:rFonts w:ascii="Arial" w:cs="Arial" w:eastAsia="Arial" w:hAnsi="Arial"/>
                <w:sz w:val="16"/>
                <w:szCs w:val="16"/>
                <w:color w:val="auto"/>
                <w:w w:val="94"/>
              </w:rPr>
              <w:t>Certification of Chief Executive Officer Pursuant to 18 U.S.C. Section 1350, as adopted pursuant to Section 906 of the Sarbanes-Oxley Act of 2002**</w:t>
            </w:r>
          </w:p>
        </w:tc>
      </w:tr>
      <w:tr>
        <w:trPr>
          <w:trHeight w:val="20"/>
        </w:trPr>
        <w:tc>
          <w:tcPr>
            <w:tcW w:w="40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r>
      <w:tr>
        <w:trPr>
          <w:trHeight w:val="196"/>
        </w:trPr>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0000FF"/>
            </w:tcBorders>
            <w:shd w:val="clear" w:color="auto" w:fill="CCEEFF"/>
          </w:tcPr>
          <w:p>
            <w:pPr>
              <w:jc w:val="center"/>
              <w:spacing w:after="0" w:line="175" w:lineRule="exact"/>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p>
        </w:tc>
        <w:tc>
          <w:tcPr>
            <w:tcW w:w="340" w:type="dxa"/>
            <w:vAlign w:val="bottom"/>
            <w:tcBorders>
              <w:bottom w:val="single" w:sz="8" w:color="CCEEFF"/>
            </w:tcBorders>
            <w:shd w:val="clear" w:color="auto" w:fill="CCEEFF"/>
          </w:tcPr>
          <w:p>
            <w:pPr>
              <w:spacing w:after="0"/>
              <w:rPr>
                <w:sz w:val="17"/>
                <w:szCs w:val="17"/>
                <w:color w:val="auto"/>
              </w:rPr>
            </w:pPr>
          </w:p>
        </w:tc>
        <w:tc>
          <w:tcPr>
            <w:tcW w:w="10140" w:type="dxa"/>
            <w:vAlign w:val="bottom"/>
            <w:tcBorders>
              <w:bottom w:val="single" w:sz="8" w:color="CCEEFF"/>
            </w:tcBorders>
            <w:shd w:val="clear" w:color="auto" w:fill="CCEEFF"/>
          </w:tcPr>
          <w:p>
            <w:pPr>
              <w:ind w:left="200"/>
              <w:spacing w:after="0" w:line="175" w:lineRule="exact"/>
              <w:rPr>
                <w:sz w:val="20"/>
                <w:szCs w:val="20"/>
                <w:color w:val="auto"/>
              </w:rPr>
            </w:pPr>
            <w:r>
              <w:rPr>
                <w:rFonts w:ascii="Arial" w:cs="Arial" w:eastAsia="Arial" w:hAnsi="Arial"/>
                <w:sz w:val="16"/>
                <w:szCs w:val="16"/>
                <w:color w:val="auto"/>
                <w:w w:val="94"/>
              </w:rPr>
              <w:t>Certification of Chief Financial Officer Pursuant to 18 U.S.C. Section 1350, as adopted pursuant to Section 906 of the Sarbanes-Oxley Act of 2002**</w:t>
            </w:r>
          </w:p>
        </w:tc>
      </w:tr>
      <w:tr>
        <w:trPr>
          <w:trHeight w:val="166"/>
        </w:trPr>
        <w:tc>
          <w:tcPr>
            <w:tcW w:w="1040" w:type="dxa"/>
            <w:vAlign w:val="bottom"/>
            <w:gridSpan w:val="3"/>
          </w:tcPr>
          <w:p>
            <w:pPr>
              <w:jc w:val="center"/>
              <w:spacing w:after="0" w:line="166" w:lineRule="exact"/>
              <w:rPr>
                <w:sz w:val="20"/>
                <w:szCs w:val="20"/>
                <w:color w:val="auto"/>
              </w:rPr>
            </w:pPr>
            <w:r>
              <w:rPr>
                <w:rFonts w:ascii="Arial" w:cs="Arial" w:eastAsia="Arial" w:hAnsi="Arial"/>
                <w:sz w:val="16"/>
                <w:szCs w:val="16"/>
                <w:color w:val="auto"/>
                <w:w w:val="93"/>
              </w:rPr>
              <w:t>101.INS</w:t>
            </w:r>
          </w:p>
        </w:tc>
        <w:tc>
          <w:tcPr>
            <w:tcW w:w="10140" w:type="dxa"/>
            <w:vAlign w:val="bottom"/>
          </w:tcPr>
          <w:p>
            <w:pPr>
              <w:ind w:left="200"/>
              <w:spacing w:after="0" w:line="166" w:lineRule="exact"/>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 the Inline</w:t>
            </w:r>
          </w:p>
        </w:tc>
      </w:tr>
      <w:tr>
        <w:trPr>
          <w:trHeight w:val="209"/>
        </w:trPr>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40" w:type="dxa"/>
            <w:vAlign w:val="bottom"/>
          </w:tcPr>
          <w:p>
            <w:pPr>
              <w:ind w:left="200"/>
              <w:spacing w:after="0"/>
              <w:rPr>
                <w:sz w:val="20"/>
                <w:szCs w:val="20"/>
                <w:color w:val="auto"/>
              </w:rPr>
            </w:pPr>
            <w:r>
              <w:rPr>
                <w:rFonts w:ascii="Arial" w:cs="Arial" w:eastAsia="Arial" w:hAnsi="Arial"/>
                <w:sz w:val="16"/>
                <w:szCs w:val="16"/>
                <w:color w:val="auto"/>
              </w:rPr>
              <w:t>XBRL document.</w:t>
            </w:r>
          </w:p>
        </w:tc>
      </w:tr>
      <w:tr>
        <w:trPr>
          <w:trHeight w:val="219"/>
        </w:trPr>
        <w:tc>
          <w:tcPr>
            <w:tcW w:w="10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2"/>
              </w:rPr>
              <w:t>101.SCH</w:t>
            </w:r>
          </w:p>
        </w:tc>
        <w:tc>
          <w:tcPr>
            <w:tcW w:w="10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Taxonomy Extension Schema Document†</w:t>
            </w:r>
          </w:p>
        </w:tc>
      </w:tr>
      <w:tr>
        <w:trPr>
          <w:trHeight w:val="213"/>
        </w:trPr>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9"/>
              </w:rPr>
              <w:t>101.CAL</w:t>
            </w:r>
          </w:p>
        </w:tc>
        <w:tc>
          <w:tcPr>
            <w:tcW w:w="1014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9"/>
        </w:trPr>
        <w:tc>
          <w:tcPr>
            <w:tcW w:w="10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101.LAB</w:t>
            </w:r>
          </w:p>
        </w:tc>
        <w:tc>
          <w:tcPr>
            <w:tcW w:w="10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Taxonomy Extension Label Linkbase Document†</w:t>
            </w:r>
          </w:p>
        </w:tc>
      </w:tr>
      <w:tr>
        <w:trPr>
          <w:trHeight w:val="213"/>
        </w:trPr>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0"/>
              </w:rPr>
              <w:t>101.PRE</w:t>
            </w:r>
          </w:p>
        </w:tc>
        <w:tc>
          <w:tcPr>
            <w:tcW w:w="10140" w:type="dxa"/>
            <w:vAlign w:val="bottom"/>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9"/>
        </w:trPr>
        <w:tc>
          <w:tcPr>
            <w:tcW w:w="10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1"/>
              </w:rPr>
              <w:t>101.DEF</w:t>
            </w:r>
          </w:p>
        </w:tc>
        <w:tc>
          <w:tcPr>
            <w:tcW w:w="10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4" w:lineRule="exact"/>
        <w:rPr>
          <w:sz w:val="20"/>
          <w:szCs w:val="20"/>
          <w:color w:val="auto"/>
        </w:rPr>
      </w:pPr>
    </w:p>
    <w:p>
      <w:pPr>
        <w:ind w:left="1280" w:hanging="813"/>
        <w:spacing w:after="0"/>
        <w:tabs>
          <w:tab w:leader="none" w:pos="12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Cover Page Interactive Data File - formatted in Inline XBRL and contained in Exhibit 101</w:t>
      </w:r>
    </w:p>
    <w:p>
      <w:pPr>
        <w:spacing w:after="0" w:line="270" w:lineRule="exact"/>
        <w:rPr>
          <w:rFonts w:ascii="Arial" w:cs="Arial" w:eastAsia="Arial" w:hAnsi="Arial"/>
          <w:sz w:val="16"/>
          <w:szCs w:val="16"/>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9683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720" w:hanging="332"/>
        <w:spacing w:after="0" w:line="250" w:lineRule="auto"/>
        <w:tabs>
          <w:tab w:leader="none" w:pos="2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ind w:left="340" w:right="200" w:hanging="332"/>
        <w:spacing w:after="0" w:line="281" w:lineRule="auto"/>
        <w:tabs>
          <w:tab w:leader="none" w:pos="2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Pursuant to a request for confidential treatment, certain portions of this exhibit have been redacted from the publicly filed document and have been furnished separately to the Securities and Exchange Commission as required by Rule 24b-2 under the Securities Exchange Act of 1934, as amended.</w:t>
      </w:r>
    </w:p>
    <w:p>
      <w:pPr>
        <w:spacing w:after="0" w:line="1" w:lineRule="exact"/>
        <w:rPr>
          <w:sz w:val="20"/>
          <w:szCs w:val="20"/>
          <w:color w:val="auto"/>
        </w:rPr>
      </w:pPr>
    </w:p>
    <w:p>
      <w:pPr>
        <w:ind w:left="340" w:right="40" w:hanging="332"/>
        <w:spacing w:after="0" w:line="260" w:lineRule="auto"/>
        <w:tabs>
          <w:tab w:leader="none" w:pos="3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permitted by Regulation S-K, Item 601(b)(10)(iv) of the Securities Exchange Act of 1934, as amended, certain confidential portions of this exhibit have been redacted from the publicly filed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firstLine="324"/>
        <w:spacing w:after="0" w:line="223" w:lineRule="exact"/>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to be signed on its behalf by the undersigned, thereunto duly authorized.</w:t>
      </w:r>
    </w:p>
    <w:p>
      <w:pPr>
        <w:spacing w:after="0" w:line="2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WESTERN DIGITAL CORPORATION</w:t>
      </w:r>
    </w:p>
    <w:p>
      <w:pPr>
        <w:spacing w:after="0" w:line="239"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37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Gene Zamiska</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6"/>
          <w:szCs w:val="16"/>
          <w:i w:val="1"/>
          <w:iCs w:val="1"/>
          <w:color w:val="auto"/>
        </w:rPr>
        <w:t>Senior Vice President, Global Accounting and Chief Accounting Officer</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324"/>
        <w:spacing w:after="0" w:line="223" w:lineRule="exact"/>
        <w:rPr>
          <w:sz w:val="20"/>
          <w:szCs w:val="20"/>
          <w:color w:val="auto"/>
        </w:rPr>
      </w:pPr>
      <w:r>
        <w:rPr>
          <w:rFonts w:ascii="Arial" w:cs="Arial" w:eastAsia="Arial" w:hAnsi="Arial"/>
          <w:sz w:val="18"/>
          <w:szCs w:val="18"/>
          <w:color w:val="auto"/>
        </w:rPr>
        <w:t>Pursuant to the requirements of the Securities Exchange Act of 1934,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has been signed below by the following persons on behalf of the Registrant and in the capacities and on the dates indicated.</w:t>
      </w:r>
    </w:p>
    <w:p>
      <w:pPr>
        <w:spacing w:after="0" w:line="23" w:lineRule="exact"/>
        <w:rPr>
          <w:sz w:val="20"/>
          <w:szCs w:val="20"/>
          <w:color w:val="auto"/>
        </w:rPr>
      </w:pPr>
    </w:p>
    <w:p>
      <w:pPr>
        <w:ind w:left="1260"/>
        <w:spacing w:after="0"/>
        <w:tabs>
          <w:tab w:leader="none" w:pos="6060" w:val="left"/>
          <w:tab w:leader="none" w:pos="1002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sect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656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V. Goeckeler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656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Wissam Jabre</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656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0">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 Zamiska</w:t>
      </w:r>
    </w:p>
    <w:p>
      <w:pPr>
        <w:spacing w:after="0" w:line="293" w:lineRule="exact"/>
        <w:rPr>
          <w:sz w:val="20"/>
          <w:szCs w:val="20"/>
          <w:color w:val="auto"/>
        </w:rPr>
      </w:pPr>
    </w:p>
    <w:p>
      <w:pPr>
        <w:ind w:left="20" w:right="1000"/>
        <w:spacing w:after="0" w:line="377" w:lineRule="auto"/>
        <w:rPr>
          <w:sz w:val="20"/>
          <w:szCs w:val="20"/>
          <w:color w:val="auto"/>
        </w:rPr>
      </w:pPr>
      <w:r>
        <w:rPr>
          <w:rFonts w:ascii="Arial" w:cs="Arial" w:eastAsia="Arial" w:hAnsi="Arial"/>
          <w:sz w:val="16"/>
          <w:szCs w:val="16"/>
          <w:color w:val="auto"/>
        </w:rPr>
        <w:t>/s/ Matthew E. Massengill Matthew E. Massengill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0656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Kimberly E. Alexy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656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Kimberly E. Alexy</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Thomas Caulfield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656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Thomas Caulfield</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Martin I.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656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Martin I. Cole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Tun</w:t>
      </w:r>
      <w:r>
        <w:rPr>
          <w:rFonts w:ascii="Arial" w:cs="Arial" w:eastAsia="Arial" w:hAnsi="Arial"/>
          <w:sz w:val="18"/>
          <w:szCs w:val="18"/>
          <w:color w:val="auto"/>
        </w:rPr>
        <w:t>ҫ</w:t>
      </w:r>
      <w:r>
        <w:rPr>
          <w:rFonts w:ascii="Arial" w:cs="Arial" w:eastAsia="Arial" w:hAnsi="Arial"/>
          <w:sz w:val="18"/>
          <w:szCs w:val="18"/>
          <w:color w:val="auto"/>
        </w:rPr>
        <w:t xml:space="preserve"> Doluca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656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Tun</w:t>
      </w:r>
      <w:r>
        <w:rPr>
          <w:rFonts w:ascii="Arial" w:cs="Arial" w:eastAsia="Arial" w:hAnsi="Arial"/>
          <w:sz w:val="18"/>
          <w:szCs w:val="18"/>
          <w:color w:val="auto"/>
        </w:rPr>
        <w:t>ҫ</w:t>
      </w:r>
      <w:r>
        <w:rPr>
          <w:rFonts w:ascii="Arial" w:cs="Arial" w:eastAsia="Arial" w:hAnsi="Arial"/>
          <w:sz w:val="18"/>
          <w:szCs w:val="18"/>
          <w:color w:val="auto"/>
        </w:rPr>
        <w:t xml:space="preserve"> Doluca</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Reed B. Rayman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656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Reed B. Rayman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Stephanie A. Streeter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0656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Stephanie A. Streeter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Miyuki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656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Miyuki Suzuki</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Chief Executive Officer, Director</w:t>
      </w:r>
    </w:p>
    <w:p>
      <w:pPr>
        <w:jc w:val="center"/>
        <w:ind w:right="60"/>
        <w:spacing w:after="0"/>
        <w:rPr>
          <w:sz w:val="20"/>
          <w:szCs w:val="20"/>
          <w:color w:val="auto"/>
        </w:rPr>
      </w:pPr>
      <w:r>
        <w:rPr>
          <w:rFonts w:ascii="Arial" w:cs="Arial" w:eastAsia="Arial" w:hAnsi="Arial"/>
          <w:sz w:val="18"/>
          <w:szCs w:val="18"/>
          <w:color w:val="auto"/>
        </w:rPr>
        <w:t>(Principal Executive Officer)</w:t>
      </w: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Executive Vice President and Chief Financial Officer</w:t>
      </w:r>
    </w:p>
    <w:p>
      <w:pPr>
        <w:jc w:val="center"/>
        <w:ind w:right="60"/>
        <w:spacing w:after="0"/>
        <w:rPr>
          <w:sz w:val="20"/>
          <w:szCs w:val="20"/>
          <w:color w:val="auto"/>
        </w:rPr>
      </w:pPr>
      <w:r>
        <w:rPr>
          <w:rFonts w:ascii="Arial" w:cs="Arial" w:eastAsia="Arial" w:hAnsi="Arial"/>
          <w:sz w:val="18"/>
          <w:szCs w:val="18"/>
          <w:color w:val="auto"/>
        </w:rPr>
        <w:t>(Principal Financial Officer)</w:t>
      </w: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Senior Vice President, Global Accounting and Chief Accounting Officer</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0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8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465" w:lineRule="exact"/>
        <w:rPr>
          <w:sz w:val="20"/>
          <w:szCs w:val="20"/>
          <w:color w:val="auto"/>
        </w:rPr>
      </w:pPr>
    </w:p>
    <w:p>
      <w:pPr>
        <w:sectPr>
          <w:pgSz w:w="11900" w:h="16838" w:orient="portrait"/>
          <w:cols w:equalWidth="0" w:num="3">
            <w:col w:w="2920" w:space="720"/>
            <w:col w:w="5280" w:space="720"/>
            <w:col w:w="1180"/>
          </w:cols>
          <w:pgMar w:left="320" w:top="125"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820"/>
          </w:cols>
          <w:pgMar w:left="320" w:top="125" w:right="759" w:bottom="1440" w:gutter="0" w:footer="0" w:header="0"/>
          <w:type w:val="continuous"/>
        </w:sectPr>
      </w:pPr>
    </w:p>
    <w:bookmarkStart w:id="118" w:name="page119"/>
    <w:bookmarkEnd w:id="118"/>
    <w:p>
      <w:pPr>
        <w:ind w:left="10180"/>
        <w:spacing w:after="0"/>
        <w:rPr>
          <w:sz w:val="20"/>
          <w:szCs w:val="20"/>
          <w:color w:val="auto"/>
        </w:rPr>
      </w:pPr>
      <w:r>
        <w:rPr>
          <w:rFonts w:ascii="Arial" w:cs="Arial" w:eastAsia="Arial" w:hAnsi="Arial"/>
          <w:sz w:val="16"/>
          <w:szCs w:val="16"/>
          <w:b w:val="1"/>
          <w:bCs w:val="1"/>
          <w:color w:val="auto"/>
        </w:rPr>
        <w:t>Exhibit 10.2.3</w:t>
      </w:r>
    </w:p>
    <w:p>
      <w:pPr>
        <w:ind w:left="4060"/>
        <w:spacing w:after="0" w:line="232" w:lineRule="auto"/>
        <w:rPr>
          <w:sz w:val="20"/>
          <w:szCs w:val="20"/>
          <w:color w:val="auto"/>
        </w:rPr>
      </w:pPr>
      <w:r>
        <w:rPr>
          <w:rFonts w:ascii="Arial" w:cs="Arial" w:eastAsia="Arial" w:hAnsi="Arial"/>
          <w:sz w:val="18"/>
          <w:szCs w:val="18"/>
          <w:b w:val="1"/>
          <w:bCs w:val="1"/>
          <w:color w:val="auto"/>
        </w:rPr>
        <w:t>WESTERN DIGITAL CORPORATION</w:t>
      </w:r>
    </w:p>
    <w:p>
      <w:pPr>
        <w:ind w:left="4060"/>
        <w:spacing w:after="0" w:line="203" w:lineRule="auto"/>
        <w:rPr>
          <w:sz w:val="20"/>
          <w:szCs w:val="20"/>
          <w:color w:val="auto"/>
        </w:rPr>
      </w:pPr>
      <w:r>
        <w:rPr>
          <w:rFonts w:ascii="Arial" w:cs="Arial" w:eastAsia="Arial" w:hAnsi="Arial"/>
          <w:sz w:val="18"/>
          <w:szCs w:val="18"/>
          <w:b w:val="1"/>
          <w:bCs w:val="1"/>
          <w:color w:val="auto"/>
        </w:rPr>
        <w:t>2021 LONG-TERM INCENTIVE PLAN</w:t>
      </w:r>
    </w:p>
    <w:p>
      <w:pPr>
        <w:jc w:val="center"/>
        <w:ind w:right="20"/>
        <w:spacing w:after="0" w:line="204" w:lineRule="auto"/>
        <w:rPr>
          <w:sz w:val="20"/>
          <w:szCs w:val="20"/>
          <w:color w:val="auto"/>
        </w:rPr>
      </w:pPr>
      <w:r>
        <w:rPr>
          <w:rFonts w:ascii="Arial" w:cs="Arial" w:eastAsia="Arial" w:hAnsi="Arial"/>
          <w:sz w:val="18"/>
          <w:szCs w:val="18"/>
          <w:b w:val="1"/>
          <w:bCs w:val="1"/>
          <w:color w:val="auto"/>
        </w:rPr>
        <w:t>GRANT NOTICE FOR</w:t>
      </w:r>
    </w:p>
    <w:p>
      <w:pPr>
        <w:jc w:val="center"/>
        <w:ind w:right="20"/>
        <w:spacing w:after="0"/>
        <w:rPr>
          <w:sz w:val="20"/>
          <w:szCs w:val="20"/>
          <w:color w:val="auto"/>
        </w:rPr>
      </w:pPr>
      <w:r>
        <w:rPr>
          <w:rFonts w:ascii="Arial" w:cs="Arial" w:eastAsia="Arial" w:hAnsi="Arial"/>
          <w:sz w:val="18"/>
          <w:szCs w:val="18"/>
          <w:b w:val="1"/>
          <w:bCs w:val="1"/>
          <w:color w:val="auto"/>
        </w:rPr>
        <w:t>RESTRICTED STOCK UNIT AWARD – VICE PRESIDENT AND ABOVE</w:t>
      </w:r>
    </w:p>
    <w:p>
      <w:pPr>
        <w:spacing w:after="0" w:line="223"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FOR GOOD AND VALUABLE CONSIDERATION, Western Digital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grants to the Participant named below the number of Restricted Stock Units (the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listed below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under the Western Digital Corporation 2021 Long-Term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Each RSU represents the right to receive one share of Common Stock, subject to the terms and conditions in this</w:t>
      </w:r>
    </w:p>
    <w:p>
      <w:pPr>
        <w:spacing w:after="0" w:line="217" w:lineRule="auto"/>
        <w:rPr>
          <w:sz w:val="20"/>
          <w:szCs w:val="20"/>
          <w:color w:val="auto"/>
        </w:rPr>
      </w:pPr>
      <w:r>
        <w:rPr>
          <w:rFonts w:ascii="Arial" w:cs="Arial" w:eastAsia="Arial" w:hAnsi="Arial"/>
          <w:sz w:val="17"/>
          <w:szCs w:val="17"/>
          <w:color w:val="auto"/>
        </w:rPr>
        <w:t>Grant Notice, the Plan and the Standard Terms and Conditions (the “</w:t>
      </w:r>
      <w:r>
        <w:rPr>
          <w:rFonts w:ascii="Arial" w:cs="Arial" w:eastAsia="Arial" w:hAnsi="Arial"/>
          <w:sz w:val="17"/>
          <w:szCs w:val="17"/>
          <w:b w:val="1"/>
          <w:bCs w:val="1"/>
          <w:i w:val="1"/>
          <w:iCs w:val="1"/>
          <w:color w:val="auto"/>
        </w:rPr>
        <w:t>Standard Terms and Conditions</w:t>
      </w:r>
      <w:r>
        <w:rPr>
          <w:rFonts w:ascii="Arial" w:cs="Arial" w:eastAsia="Arial" w:hAnsi="Arial"/>
          <w:sz w:val="17"/>
          <w:szCs w:val="17"/>
          <w:color w:val="auto"/>
        </w:rPr>
        <w:t xml:space="preserve">”) of such Plan,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otherwise defined here shall have the meaning set forth in the Plan.</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6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Participant:</w:t>
            </w:r>
          </w:p>
        </w:tc>
        <w:tc>
          <w:tcPr>
            <w:tcW w:w="858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Employee ID</w:t>
            </w:r>
          </w:p>
        </w:tc>
        <w:tc>
          <w:tcPr>
            <w:tcW w:w="8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Date:</w:t>
            </w:r>
          </w:p>
        </w:tc>
        <w:tc>
          <w:tcPr>
            <w:tcW w:w="8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Number</w:t>
            </w:r>
          </w:p>
        </w:tc>
        <w:tc>
          <w:tcPr>
            <w:tcW w:w="8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Number of RSUs:</w:t>
            </w:r>
          </w:p>
        </w:tc>
        <w:tc>
          <w:tcPr>
            <w:tcW w:w="8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Vesting Schedule:</w:t>
            </w:r>
          </w:p>
        </w:tc>
        <w:tc>
          <w:tcPr>
            <w:tcW w:w="85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The RSUs shall vest in accordance with the following schedule:</w:t>
            </w:r>
          </w:p>
        </w:tc>
        <w:tc>
          <w:tcPr>
            <w:tcW w:w="0" w:type="dxa"/>
            <w:vAlign w:val="bottom"/>
          </w:tcPr>
          <w:p>
            <w:pPr>
              <w:spacing w:after="0"/>
              <w:rPr>
                <w:sz w:val="1"/>
                <w:szCs w:val="1"/>
                <w:color w:val="auto"/>
              </w:rPr>
            </w:pPr>
          </w:p>
        </w:tc>
      </w:tr>
      <w:tr>
        <w:trPr>
          <w:trHeight w:val="107"/>
        </w:trPr>
        <w:tc>
          <w:tcPr>
            <w:tcW w:w="2680" w:type="dxa"/>
            <w:vAlign w:val="bottom"/>
            <w:tcBorders>
              <w:left w:val="single" w:sz="8" w:color="auto"/>
              <w:right w:val="single" w:sz="8" w:color="auto"/>
            </w:tcBorders>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680" w:type="dxa"/>
            <w:vAlign w:val="bottom"/>
            <w:tcBorders>
              <w:left w:val="single" w:sz="8" w:color="auto"/>
              <w:right w:val="single" w:sz="8" w:color="auto"/>
            </w:tcBorders>
          </w:tcPr>
          <w:p>
            <w:pPr>
              <w:spacing w:after="0"/>
              <w:rPr>
                <w:sz w:val="24"/>
                <w:szCs w:val="24"/>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Vesting shall be subject to Participant’s Continuous Service from the Grant Date through each applicable vesting</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spacing w:after="0"/>
              <w:rPr>
                <w:sz w:val="20"/>
                <w:szCs w:val="20"/>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unless provided otherwise under Section 2 of the Standard Terms and Conditions.</w:t>
            </w:r>
          </w:p>
        </w:tc>
        <w:tc>
          <w:tcPr>
            <w:tcW w:w="0" w:type="dxa"/>
            <w:vAlign w:val="bottom"/>
          </w:tcPr>
          <w:p>
            <w:pPr>
              <w:spacing w:after="0"/>
              <w:rPr>
                <w:sz w:val="1"/>
                <w:szCs w:val="1"/>
                <w:color w:val="auto"/>
              </w:rPr>
            </w:pPr>
          </w:p>
        </w:tc>
      </w:tr>
      <w:tr>
        <w:trPr>
          <w:trHeight w:val="107"/>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8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b w:val="1"/>
          <w:bCs w:val="1"/>
          <w:color w:val="auto"/>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DOCUMENT. FAILURE TO</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b w:val="1"/>
          <w:bCs w:val="1"/>
          <w:color w:val="auto"/>
        </w:rPr>
        <w:t>REJECT THIS AWARD WITHIN SUCH 5-DAY PERIOD SHALL BE DEEMED ACCEPTANCE OF THIS AWARD AND THE TERMS AND CONDITIONS OF THIS AWARD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Grant Notice for</w:t>
      </w:r>
    </w:p>
    <w:p>
      <w:pPr>
        <w:jc w:val="center"/>
        <w:ind w:right="20"/>
        <w:spacing w:after="0"/>
        <w:rPr>
          <w:sz w:val="20"/>
          <w:szCs w:val="20"/>
          <w:color w:val="auto"/>
        </w:rPr>
      </w:pPr>
      <w:r>
        <w:rPr>
          <w:rFonts w:ascii="Arial" w:cs="Arial" w:eastAsia="Arial" w:hAnsi="Arial"/>
          <w:sz w:val="22"/>
          <w:szCs w:val="22"/>
          <w:color w:val="auto"/>
        </w:rPr>
        <w:t>Restricted Stock Unit Award</w:t>
      </w:r>
    </w:p>
    <w:p>
      <w:pPr>
        <w:sectPr>
          <w:pgSz w:w="11900" w:h="16838" w:orient="portrait"/>
          <w:cols w:equalWidth="0" w:num="1">
            <w:col w:w="11260"/>
          </w:cols>
          <w:pgMar w:left="320" w:top="1404" w:right="3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1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WESTERN DIGITAL CORPORATION</w:t>
      </w:r>
    </w:p>
    <w:p>
      <w:pPr>
        <w:spacing w:after="0" w:line="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2021 LONG-TERM INCENTIVE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jc w:val="center"/>
        <w:spacing w:after="0"/>
        <w:rPr>
          <w:sz w:val="20"/>
          <w:szCs w:val="20"/>
          <w:color w:val="auto"/>
        </w:rPr>
      </w:pPr>
      <w:r>
        <w:rPr>
          <w:rFonts w:ascii="Arial" w:cs="Arial" w:eastAsia="Arial" w:hAnsi="Arial"/>
          <w:sz w:val="18"/>
          <w:szCs w:val="18"/>
          <w:b w:val="1"/>
          <w:bCs w:val="1"/>
          <w:color w:val="auto"/>
        </w:rPr>
        <w:t>RESTRICTED STOCK UNITS</w:t>
      </w:r>
    </w:p>
    <w:p>
      <w:pPr>
        <w:spacing w:after="0" w:line="2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These Standard Terms and Conditions apply to this Award of Restricted Stock Units granted under the Western Digital Corporation 2021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Restricted Stock Units are also subject to the terms of the Plan and the attached Grant Notice, which are incorporated here by this reference. Capitalized terms not otherwise defined here shall have the meaning set forth in the Plan.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RESTRICTED STOCK UNITS</w:t>
      </w:r>
    </w:p>
    <w:p>
      <w:pPr>
        <w:spacing w:after="0" w:line="18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Western Digital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Participant named in the attached Grant Notice an award of Restricted Stock Units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described in the Grant Notice, with each Restricted Stock Unit representing the right to receive one share of Common Stock. For</w:t>
      </w:r>
    </w:p>
    <w:p>
      <w:pPr>
        <w:spacing w:after="0"/>
        <w:rPr>
          <w:sz w:val="20"/>
          <w:szCs w:val="20"/>
          <w:color w:val="auto"/>
        </w:rPr>
      </w:pPr>
      <w:r>
        <w:rPr>
          <w:rFonts w:ascii="Arial" w:cs="Arial" w:eastAsia="Arial" w:hAnsi="Arial"/>
          <w:sz w:val="17"/>
          <w:szCs w:val="17"/>
          <w:color w:val="auto"/>
        </w:rPr>
        <w:t>purposes of these Standard Terms and Conditions and the Grant Notice, any reference to the Company shall include a reference to any Subsidiary.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VESTING AND SETTLEMENT OF RESTRICTED STOCK UNITS</w:t>
      </w:r>
    </w:p>
    <w:p>
      <w:pPr>
        <w:spacing w:after="0" w:line="189" w:lineRule="exact"/>
        <w:rPr>
          <w:sz w:val="20"/>
          <w:szCs w:val="20"/>
          <w:color w:val="auto"/>
        </w:rPr>
      </w:pPr>
    </w:p>
    <w:p>
      <w:pPr>
        <w:jc w:val="both"/>
        <w:ind w:right="60" w:firstLine="656"/>
        <w:spacing w:after="0" w:line="232" w:lineRule="auto"/>
        <w:tabs>
          <w:tab w:leader="none" w:pos="129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RSUs that have vested and are no longer subject to forfeiture are referred to as “</w:t>
      </w:r>
      <w:r>
        <w:rPr>
          <w:rFonts w:ascii="Arial" w:cs="Arial" w:eastAsia="Arial" w:hAnsi="Arial"/>
          <w:sz w:val="17"/>
          <w:szCs w:val="17"/>
          <w:b w:val="1"/>
          <w:bCs w:val="1"/>
          <w:i w:val="1"/>
          <w:iCs w:val="1"/>
          <w:color w:val="auto"/>
        </w:rPr>
        <w:t>Vested RSUs</w:t>
      </w:r>
      <w:r>
        <w:rPr>
          <w:rFonts w:ascii="Arial" w:cs="Arial" w:eastAsia="Arial" w:hAnsi="Arial"/>
          <w:sz w:val="17"/>
          <w:szCs w:val="17"/>
          <w:color w:val="auto"/>
        </w:rPr>
        <w:t>.” RSUs that are not vested and remain subject to forfeiture are referred to as “</w:t>
      </w:r>
      <w:r>
        <w:rPr>
          <w:rFonts w:ascii="Arial" w:cs="Arial" w:eastAsia="Arial" w:hAnsi="Arial"/>
          <w:sz w:val="17"/>
          <w:szCs w:val="17"/>
          <w:b w:val="1"/>
          <w:bCs w:val="1"/>
          <w:i w:val="1"/>
          <w:iCs w:val="1"/>
          <w:color w:val="auto"/>
        </w:rPr>
        <w:t>Unvested RSUs</w:t>
      </w:r>
      <w:r>
        <w:rPr>
          <w:rFonts w:ascii="Arial" w:cs="Arial" w:eastAsia="Arial" w:hAnsi="Arial"/>
          <w:sz w:val="17"/>
          <w:szCs w:val="17"/>
          <w:color w:val="auto"/>
        </w:rPr>
        <w:t>.” No portion of this Award, nor the shares of Common Stock subject to this Award, may be deferred under the Western Digital Corporation Deferred Compensation Plan (or any applicable successor plan) or any other deferred compensation arrangement of the Company.</w:t>
      </w:r>
    </w:p>
    <w:p>
      <w:pPr>
        <w:spacing w:after="0" w:line="162" w:lineRule="exact"/>
        <w:rPr>
          <w:rFonts w:ascii="Arial" w:cs="Arial" w:eastAsia="Arial" w:hAnsi="Arial"/>
          <w:sz w:val="17"/>
          <w:szCs w:val="17"/>
          <w:color w:val="auto"/>
        </w:rPr>
      </w:pPr>
    </w:p>
    <w:p>
      <w:pPr>
        <w:jc w:val="both"/>
        <w:ind w:right="60" w:firstLine="656"/>
        <w:spacing w:after="0" w:line="222" w:lineRule="auto"/>
        <w:tabs>
          <w:tab w:leader="none" w:pos="12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Following the vesting of the RSUs on a vesting date, the Company shall deliver to the Participant on the Settlement Date a number of shares of Common Stock equal to the number of RSUs that vested on such vesting date. The Company may, in its sole discretion, settle any RSUs accrued as dividend equivalents by a cash payment equal to the Fair Market Value of a share of Common Stock on the date of payment (as opposed to payment in the form of shares of Common Stock).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means as soon as practicable following the vesting of the RSUs on the applicable vesting date but in no event later than 60 days after the applicable vesting date.</w:t>
      </w:r>
    </w:p>
    <w:p>
      <w:pPr>
        <w:spacing w:after="0" w:line="163" w:lineRule="exact"/>
        <w:rPr>
          <w:rFonts w:ascii="Arial" w:cs="Arial" w:eastAsia="Arial" w:hAnsi="Arial"/>
          <w:sz w:val="18"/>
          <w:szCs w:val="18"/>
          <w:color w:val="auto"/>
        </w:rPr>
      </w:pPr>
    </w:p>
    <w:p>
      <w:pPr>
        <w:jc w:val="both"/>
        <w:ind w:right="60" w:firstLine="656"/>
        <w:spacing w:after="0" w:line="248" w:lineRule="auto"/>
        <w:tabs>
          <w:tab w:leader="none" w:pos="1293"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Termination due to Death; Termination without Cause under the Executive Severance Plan</w:t>
      </w:r>
      <w:r>
        <w:rPr>
          <w:rFonts w:ascii="Arial" w:cs="Arial" w:eastAsia="Arial" w:hAnsi="Arial"/>
          <w:sz w:val="16"/>
          <w:szCs w:val="16"/>
          <w:color w:val="auto"/>
        </w:rPr>
        <w:t>. (1) Upon Participant’s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 Service due to death or (2) for a Participant who is subject to the terms of the Western Digital Corporation Amended and Restated Executive Severance Plan, as applicable (or any applicable successor plan) (the “</w:t>
      </w:r>
      <w:r>
        <w:rPr>
          <w:rFonts w:ascii="Arial" w:cs="Arial" w:eastAsia="Arial" w:hAnsi="Arial"/>
          <w:sz w:val="16"/>
          <w:szCs w:val="16"/>
          <w:b w:val="1"/>
          <w:bCs w:val="1"/>
          <w:i w:val="1"/>
          <w:iCs w:val="1"/>
          <w:color w:val="auto"/>
        </w:rPr>
        <w:t>Executive Severance Plan</w:t>
      </w:r>
      <w:r>
        <w:rPr>
          <w:rFonts w:ascii="Arial" w:cs="Arial" w:eastAsia="Arial" w:hAnsi="Arial"/>
          <w:sz w:val="16"/>
          <w:szCs w:val="16"/>
          <w:color w:val="auto"/>
        </w:rPr>
        <w:t>”) at the time of termination of Continuous Service, then upon Participant’s termination of employment by the Company without Cause (as defined in the Executive Severance Plan) under circumstances that would entitle the Participant to severance benefits under the Executive Severance Plan, subject to compliance with the terms of the Executive Severance Plan any then Unvested RSUs and any credited dividend equivalents held by the Participant shall vest in accordance with the following formula:</w:t>
      </w:r>
    </w:p>
    <w:p>
      <w:pPr>
        <w:spacing w:after="0" w:line="155" w:lineRule="exact"/>
        <w:rPr>
          <w:sz w:val="20"/>
          <w:szCs w:val="20"/>
          <w:color w:val="auto"/>
        </w:rPr>
      </w:pPr>
    </w:p>
    <w:p>
      <w:pPr>
        <w:jc w:val="both"/>
        <w:ind w:left="660" w:right="60" w:hanging="4"/>
        <w:spacing w:after="0" w:line="219" w:lineRule="auto"/>
        <w:tabs>
          <w:tab w:leader="none" w:pos="10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(x) a fraction with a numerator equal to the total number of calendar days from the Grant Date of this Award through and including the Participant’s termination of Continuous Service and a denominator equal to the total number of calendar days from the Grant Date of this Award through and including the last scheduled vesting date applicable to this Award </w:t>
      </w:r>
      <w:r>
        <w:rPr>
          <w:rFonts w:ascii="Arial" w:cs="Arial" w:eastAsia="Arial" w:hAnsi="Arial"/>
          <w:sz w:val="18"/>
          <w:szCs w:val="18"/>
          <w:b w:val="1"/>
          <w:bCs w:val="1"/>
          <w:i w:val="1"/>
          <w:iCs w:val="1"/>
          <w:u w:val="single" w:color="auto"/>
          <w:color w:val="auto"/>
        </w:rPr>
        <w:t>multiplied by</w:t>
      </w:r>
      <w:r>
        <w:rPr>
          <w:rFonts w:ascii="Arial" w:cs="Arial" w:eastAsia="Arial" w:hAnsi="Arial"/>
          <w:sz w:val="18"/>
          <w:szCs w:val="18"/>
          <w:color w:val="auto"/>
        </w:rPr>
        <w:t xml:space="preserve"> (y) the total number of shares of Common Stock originally subject to this Award (subject to adjustment as provided in the Plan but before taking into account any crediting of dividend equivalents); </w:t>
      </w:r>
      <w:r>
        <w:rPr>
          <w:rFonts w:ascii="Arial" w:cs="Arial" w:eastAsia="Arial" w:hAnsi="Arial"/>
          <w:sz w:val="18"/>
          <w:szCs w:val="18"/>
          <w:b w:val="1"/>
          <w:bCs w:val="1"/>
          <w:i w:val="1"/>
          <w:iCs w:val="1"/>
          <w:u w:val="single" w:color="auto"/>
          <w:color w:val="auto"/>
        </w:rPr>
        <w:t>minus</w:t>
      </w:r>
    </w:p>
    <w:p>
      <w:pPr>
        <w:spacing w:after="0" w:line="176" w:lineRule="exact"/>
        <w:rPr>
          <w:rFonts w:ascii="Arial" w:cs="Arial" w:eastAsia="Arial" w:hAnsi="Arial"/>
          <w:sz w:val="18"/>
          <w:szCs w:val="18"/>
          <w:color w:val="auto"/>
        </w:rPr>
      </w:pPr>
    </w:p>
    <w:p>
      <w:pPr>
        <w:jc w:val="both"/>
        <w:ind w:left="660" w:right="80" w:hanging="4"/>
        <w:spacing w:after="0" w:line="224" w:lineRule="auto"/>
        <w:tabs>
          <w:tab w:leader="none" w:pos="10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of Common Stock that have already vested on or prior to the Participant’s termination of Continuous Service (before taking any accelerated vesting contemplated by this subsection into account and before taking into account any crediting (if applicable) of dividend equivalent rights).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Any Unvested RSUs that do not vest as described above shall be forfeited as of the date of the Participant’s termination of Continuous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jc w:val="center"/>
        <w:spacing w:after="0"/>
        <w:rPr>
          <w:sz w:val="20"/>
          <w:szCs w:val="20"/>
          <w:color w:val="auto"/>
        </w:rPr>
      </w:pPr>
      <w:r>
        <w:rPr>
          <w:rFonts w:ascii="Arial" w:cs="Arial" w:eastAsia="Arial" w:hAnsi="Arial"/>
          <w:sz w:val="22"/>
          <w:szCs w:val="22"/>
          <w:color w:val="auto"/>
        </w:rPr>
        <w:t>Standard Terms and Conditions</w:t>
      </w:r>
    </w:p>
    <w:p>
      <w:pPr>
        <w:sectPr>
          <w:pgSz w:w="11900" w:h="16838" w:orient="portrait"/>
          <w:cols w:equalWidth="0" w:num="1">
            <w:col w:w="11240"/>
          </w:cols>
          <w:pgMar w:left="320" w:top="1404" w:right="339" w:bottom="1440" w:gutter="0" w:footer="0" w:header="0"/>
        </w:sectPr>
      </w:pPr>
    </w:p>
    <w:bookmarkStart w:id="120" w:name="page121"/>
    <w:bookmarkEnd w:id="120"/>
    <w:p>
      <w:pPr>
        <w:spacing w:after="0" w:line="184" w:lineRule="exact"/>
        <w:rPr>
          <w:sz w:val="20"/>
          <w:szCs w:val="20"/>
          <w:color w:val="auto"/>
        </w:rPr>
      </w:pPr>
    </w:p>
    <w:p>
      <w:pPr>
        <w:jc w:val="both"/>
        <w:ind w:firstLine="656"/>
        <w:spacing w:after="0" w:line="232" w:lineRule="auto"/>
        <w:tabs>
          <w:tab w:leader="none" w:pos="129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Termination without Cause or for Good Reason under the Change in Control Severance Plan</w:t>
      </w:r>
      <w:r>
        <w:rPr>
          <w:rFonts w:ascii="Arial" w:cs="Arial" w:eastAsia="Arial" w:hAnsi="Arial"/>
          <w:sz w:val="17"/>
          <w:szCs w:val="17"/>
          <w:color w:val="auto"/>
        </w:rPr>
        <w:t>. For a Participant who is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Western Digital Corporation Amended and Restated Change in Control Severance Plan, as applicable (or any applicable successor plan) (the “</w:t>
      </w:r>
      <w:r>
        <w:rPr>
          <w:rFonts w:ascii="Arial" w:cs="Arial" w:eastAsia="Arial" w:hAnsi="Arial"/>
          <w:sz w:val="17"/>
          <w:szCs w:val="17"/>
          <w:b w:val="1"/>
          <w:bCs w:val="1"/>
          <w:i w:val="1"/>
          <w:iCs w:val="1"/>
          <w:color w:val="auto"/>
        </w:rPr>
        <w:t>CIC Severance Plan</w:t>
      </w:r>
      <w:r>
        <w:rPr>
          <w:rFonts w:ascii="Arial" w:cs="Arial" w:eastAsia="Arial" w:hAnsi="Arial"/>
          <w:sz w:val="17"/>
          <w:szCs w:val="17"/>
          <w:color w:val="auto"/>
        </w:rPr>
        <w:t>”) at the time of termination of Continuous Service, then upon Participant’s termination of employment by the Company without Cause or due to a resignation by Participant for Good Reason (both as defined in the CIC Severance Plan) under circumstances that would entitle the Participant to severance benefits under the CIC Severance Plan, subject to compliance with the terms of the CIC Severance Plan, any then Unvested RSUs held by the Participant and any credited dividend equivalents will vest in full.</w:t>
      </w:r>
    </w:p>
    <w:p>
      <w:pPr>
        <w:spacing w:after="0" w:line="162" w:lineRule="exact"/>
        <w:rPr>
          <w:rFonts w:ascii="Arial" w:cs="Arial" w:eastAsia="Arial" w:hAnsi="Arial"/>
          <w:sz w:val="17"/>
          <w:szCs w:val="17"/>
          <w:color w:val="auto"/>
        </w:rPr>
      </w:pPr>
    </w:p>
    <w:p>
      <w:pPr>
        <w:jc w:val="both"/>
        <w:ind w:firstLine="656"/>
        <w:spacing w:after="0" w:line="223" w:lineRule="auto"/>
        <w:tabs>
          <w:tab w:leader="none" w:pos="129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Upon Participant’s termination of Continuous Service by the Company due to a resignation by Participant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 resignation for Good Reason under circumstances that would entitle the Participant to severance benefits under the CIC Severance Plan, subject to compliance with the terms of the CIC Severance Plan, the Unvested RSUs held by the Participant shall be forfeited as of the date of the Participant’s termination of Continuous Service.</w:t>
      </w:r>
    </w:p>
    <w:p>
      <w:pPr>
        <w:spacing w:after="0" w:line="162" w:lineRule="exact"/>
        <w:rPr>
          <w:rFonts w:ascii="Arial" w:cs="Arial" w:eastAsia="Arial" w:hAnsi="Arial"/>
          <w:sz w:val="18"/>
          <w:szCs w:val="18"/>
          <w:color w:val="auto"/>
        </w:rPr>
      </w:pPr>
    </w:p>
    <w:p>
      <w:pPr>
        <w:ind w:right="20" w:firstLine="656"/>
        <w:spacing w:after="0" w:line="274" w:lineRule="auto"/>
        <w:tabs>
          <w:tab w:leader="none" w:pos="1287" w:val="left"/>
        </w:tabs>
        <w:numPr>
          <w:ilvl w:val="0"/>
          <w:numId w:val="28"/>
        </w:numPr>
        <w:rPr>
          <w:rFonts w:ascii="Arial" w:cs="Arial" w:eastAsia="Arial" w:hAnsi="Arial"/>
          <w:sz w:val="17"/>
          <w:szCs w:val="17"/>
          <w:color w:val="auto"/>
        </w:rPr>
      </w:pPr>
      <w:r>
        <w:rPr>
          <w:rFonts w:ascii="Arial" w:cs="Arial" w:eastAsia="Arial" w:hAnsi="Arial"/>
          <w:sz w:val="17"/>
          <w:szCs w:val="17"/>
          <w:color w:val="auto"/>
        </w:rPr>
        <w:t>Upon Participant’s termination of Continuous Service by the Company for Cause, the entire Award (both Vested RSUs that have yet to be settled and Unvested RSUs) held by the Participant shall be forfeited as of the date of the Participant’s termination of Continuous Service.</w:t>
      </w:r>
    </w:p>
    <w:p>
      <w:pPr>
        <w:spacing w:after="0" w:line="161" w:lineRule="exact"/>
        <w:rPr>
          <w:rFonts w:ascii="Arial" w:cs="Arial" w:eastAsia="Arial" w:hAnsi="Arial"/>
          <w:sz w:val="17"/>
          <w:szCs w:val="17"/>
          <w:color w:val="auto"/>
        </w:rPr>
      </w:pPr>
    </w:p>
    <w:p>
      <w:pPr>
        <w:jc w:val="both"/>
        <w:ind w:right="20" w:firstLine="656"/>
        <w:spacing w:after="0" w:line="217" w:lineRule="auto"/>
        <w:tabs>
          <w:tab w:leader="none" w:pos="129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Non</w:t>
      </w:r>
      <w:r>
        <w:rPr>
          <w:rFonts w:ascii="Arial" w:cs="Arial" w:eastAsia="Arial" w:hAnsi="Arial"/>
          <w:sz w:val="18"/>
          <w:szCs w:val="18"/>
          <w:color w:val="auto"/>
        </w:rPr>
        <w:t>-</w:t>
      </w:r>
      <w:r>
        <w:rPr>
          <w:rFonts w:ascii="Arial" w:cs="Arial" w:eastAsia="Arial" w:hAnsi="Arial"/>
          <w:sz w:val="18"/>
          <w:szCs w:val="18"/>
          <w:i w:val="1"/>
          <w:iCs w:val="1"/>
          <w:color w:val="auto"/>
        </w:rPr>
        <w:t>U.S. Eligible Employees Participating in the Executive Severance Plan and Change in Control Severance Plan</w:t>
      </w:r>
      <w:r>
        <w:rPr>
          <w:rFonts w:ascii="Arial" w:cs="Arial" w:eastAsia="Arial" w:hAnsi="Arial"/>
          <w:sz w:val="18"/>
          <w:szCs w:val="18"/>
          <w:color w:val="auto"/>
        </w:rPr>
        <w:t>. For avoidance of</w:t>
      </w:r>
      <w:r>
        <w:rPr>
          <w:rFonts w:ascii="Arial" w:cs="Arial" w:eastAsia="Arial" w:hAnsi="Arial"/>
          <w:sz w:val="18"/>
          <w:szCs w:val="18"/>
          <w:i w:val="1"/>
          <w:iCs w:val="1"/>
          <w:color w:val="auto"/>
        </w:rPr>
        <w:t xml:space="preserve"> </w:t>
      </w:r>
      <w:r>
        <w:rPr>
          <w:rFonts w:ascii="Arial" w:cs="Arial" w:eastAsia="Arial" w:hAnsi="Arial"/>
          <w:sz w:val="18"/>
          <w:szCs w:val="18"/>
          <w:color w:val="auto"/>
        </w:rPr>
        <w:t>doubt, if Participant is not a U.S. Eligible Employee (as defined in the applicable severance plan), the Participant will only be eligible for the vesting treatment on a termination without Cause as described in Section 2(c) or termination without Cause or resignation for Good Reason as described in Section 2(d)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2(c) or termination without Cause or resignation for Good Reason as described in Section 2(d).</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AS STOCKHOLDER; DIVIDEND EQUIVALENTS</w:t>
      </w:r>
    </w:p>
    <w:p>
      <w:pPr>
        <w:spacing w:after="0" w:line="202" w:lineRule="exact"/>
        <w:rPr>
          <w:sz w:val="20"/>
          <w:szCs w:val="20"/>
          <w:color w:val="auto"/>
        </w:rPr>
      </w:pPr>
    </w:p>
    <w:p>
      <w:pPr>
        <w:ind w:firstLine="656"/>
        <w:spacing w:after="0" w:line="235" w:lineRule="auto"/>
        <w:tabs>
          <w:tab w:leader="none" w:pos="12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Participant shall not be, nor have any of the rights or privileges of, a stockholder of the Company in respect of any RSUs unless and until shares of Common Stock settled for such RSUs shall have been issued by the Company to Participant.</w:t>
      </w:r>
    </w:p>
    <w:p>
      <w:pPr>
        <w:spacing w:after="0" w:line="161" w:lineRule="exact"/>
        <w:rPr>
          <w:rFonts w:ascii="Arial" w:cs="Arial" w:eastAsia="Arial" w:hAnsi="Arial"/>
          <w:sz w:val="18"/>
          <w:szCs w:val="18"/>
          <w:color w:val="auto"/>
        </w:rPr>
      </w:pPr>
    </w:p>
    <w:p>
      <w:pPr>
        <w:jc w:val="both"/>
        <w:ind w:firstLine="656"/>
        <w:spacing w:after="0" w:line="226" w:lineRule="auto"/>
        <w:tabs>
          <w:tab w:leader="none" w:pos="129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Notwithstanding Section 3(a), from and after the Grant Date and until the earlier of (i) the Participant’s receipt of Common Stock upon settlement of the RSUs and (ii) the time when the Participant’s right to receive Common Stock upon settlement of the RSUs is forfeited, the Participant shall be entitled to receive as a dividend equivalent a number of additional RSUs on the date(s) that the Company pays a cash dividend (if any) to Common Stock holders generally. Such dividend equivalent shall be determined by dividing (i) the product of (A) the dollar amount of the cash dividend paid per share of Common Stock on such date and (B) the total number of RSUs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 Dividend equivalents shall be settled in whole shares of Common Stock with any dividend equivalents accrued in the form of fractional RSUs settled in cash. However, for the avoidance of doubt, the Company may, in its sole discretion, settle any RSUs credited as dividend equivalents by a cash payment equal to the Fair Market Value of a share of Common Stock on the date of payment (as opposed to payment in the form of shares of Common Stock). For the avoidance of doubt, in no event will any dividend equivalents credited to RSUs be delivered to the Participant unless and until such RSUs vest and settle.</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RESALES OF SHARES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impose such restrictions as it determines appropriate as to the timing and manner of any resales by the Participant or other subsequent</w:t>
      </w:r>
    </w:p>
    <w:p>
      <w:pPr>
        <w:spacing w:after="0" w:line="2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1440" w:right="399" w:bottom="1440" w:gutter="0" w:footer="0" w:header="0"/>
        </w:sectPr>
      </w:pPr>
    </w:p>
    <w:bookmarkStart w:id="121" w:name="page122"/>
    <w:bookmarkEnd w:id="121"/>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Participant may satisfy tax withholding obligations relating to the RSUs by any combination of the following: (i) a cash payment; (ii) a Company deduction from any amounts payable to Participant; (iii) Company withholding of shares from the Common Stock issuable to the Participant in connection</w:t>
      </w:r>
    </w:p>
    <w:p>
      <w:pPr>
        <w:jc w:val="both"/>
        <w:spacing w:after="0" w:line="234" w:lineRule="auto"/>
        <w:rPr>
          <w:sz w:val="20"/>
          <w:szCs w:val="20"/>
          <w:color w:val="auto"/>
        </w:rPr>
      </w:pPr>
      <w:r>
        <w:rPr>
          <w:rFonts w:ascii="Arial" w:cs="Arial" w:eastAsia="Arial" w:hAnsi="Arial"/>
          <w:sz w:val="16"/>
          <w:szCs w:val="16"/>
          <w:color w:val="auto"/>
        </w:rPr>
        <w:t>with the RSUs (only up to the amount permitted that will not cause an adverse accounting consequence); or (iv) Company withholding a payment from the proceeds from the sale of shares of Common Stock issued pursuant to the RSUs. In addition, the Administrator may, in its sole discretion but only to the extent consistent with Section 409A of the Code, reduce the number of RSUs remaining subject to this Award, with each such RSU to have a value for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purpose equal to the then Fair Market Value of a share of Common Stock, to satisfy such withholding obligation at the applicable withholding rates.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NON-TRANSFERABILITY OF AWARD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Participant agrees that, except as otherwise provided in the Plan or as permitted by the Administrator, this Award may not be sold, assigned,</w:t>
      </w:r>
    </w:p>
    <w:p>
      <w:pPr>
        <w:spacing w:after="0" w:line="10"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AGREEMENTS SUPERSEDED</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Grant Notice, these Standard Terms and Conditions and the Plan constitute the entire understanding between the Participant and the Company regarding this Award. Any prior agreements, commitments or negotiations concerning this Award are superseded.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ADDITIONAL RIGHTS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Participant’s receipt of the RSUs does not confer upon the Participant any right to continue to serve the Company or an Affiliate in any capacity and will not affect the right of the Company or an Affiliate to terminate the service of the Participant.</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56"/>
        <w:spacing w:after="0" w:line="239" w:lineRule="auto"/>
        <w:tabs>
          <w:tab w:leader="none" w:pos="1293" w:val="left"/>
        </w:tabs>
        <w:numPr>
          <w:ilvl w:val="0"/>
          <w:numId w:val="30"/>
        </w:numPr>
        <w:rPr>
          <w:rFonts w:ascii="Arial" w:cs="Arial" w:eastAsia="Arial" w:hAnsi="Arial"/>
          <w:sz w:val="19"/>
          <w:szCs w:val="19"/>
          <w:color w:val="auto"/>
        </w:rPr>
      </w:pPr>
      <w:r>
        <w:rPr>
          <w:rFonts w:ascii="Arial" w:cs="Arial" w:eastAsia="Arial" w:hAnsi="Arial"/>
          <w:sz w:val="16"/>
          <w:szCs w:val="16"/>
          <w:color w:val="auto"/>
        </w:rPr>
        <w:t>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Document and/or the Plan should modify the stricken terms as narrowly as possible to give as much effect as possible to the intentions of the parties hereunder.</w:t>
      </w:r>
    </w:p>
    <w:p>
      <w:pPr>
        <w:spacing w:after="0" w:line="189" w:lineRule="exact"/>
        <w:rPr>
          <w:rFonts w:ascii="Arial" w:cs="Arial" w:eastAsia="Arial" w:hAnsi="Arial"/>
          <w:sz w:val="19"/>
          <w:szCs w:val="19"/>
          <w:color w:val="auto"/>
        </w:rPr>
      </w:pPr>
    </w:p>
    <w:p>
      <w:pPr>
        <w:jc w:val="both"/>
        <w:ind w:firstLine="656"/>
        <w:spacing w:after="0" w:line="227" w:lineRule="auto"/>
        <w:tabs>
          <w:tab w:leader="none" w:pos="1291"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8" w:lineRule="exact"/>
        <w:rPr>
          <w:rFonts w:ascii="Arial" w:cs="Arial" w:eastAsia="Arial" w:hAnsi="Arial"/>
          <w:sz w:val="21"/>
          <w:szCs w:val="21"/>
          <w:color w:val="auto"/>
        </w:rPr>
      </w:pPr>
    </w:p>
    <w:p>
      <w:pPr>
        <w:ind w:firstLine="656"/>
        <w:spacing w:after="0" w:line="218" w:lineRule="auto"/>
        <w:tabs>
          <w:tab w:leader="none" w:pos="1293"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These Standard Terms and Conditions shall inure to the benefit of and be binding upon the parties and their respective permitted heirs, beneficiaries, successors and assigns.</w:t>
      </w:r>
    </w:p>
    <w:p>
      <w:pPr>
        <w:spacing w:after="0" w:line="203" w:lineRule="exact"/>
        <w:rPr>
          <w:rFonts w:ascii="Arial" w:cs="Arial" w:eastAsia="Arial" w:hAnsi="Arial"/>
          <w:sz w:val="22"/>
          <w:szCs w:val="22"/>
          <w:color w:val="auto"/>
        </w:rPr>
      </w:pPr>
    </w:p>
    <w:p>
      <w:pPr>
        <w:ind w:right="20" w:firstLine="656"/>
        <w:spacing w:after="0" w:line="218" w:lineRule="auto"/>
        <w:tabs>
          <w:tab w:leader="none" w:pos="1291"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These Standard Terms and Conditions shall be interpreted in accordance with and governed by the laws of the State of Delaware, without regard to principles of conflicts of law.</w:t>
      </w:r>
    </w:p>
    <w:p>
      <w:pPr>
        <w:spacing w:after="0" w:line="189" w:lineRule="exact"/>
        <w:rPr>
          <w:rFonts w:ascii="Arial" w:cs="Arial" w:eastAsia="Arial" w:hAnsi="Arial"/>
          <w:sz w:val="22"/>
          <w:szCs w:val="22"/>
          <w:color w:val="auto"/>
        </w:rPr>
      </w:pPr>
    </w:p>
    <w:p>
      <w:pPr>
        <w:jc w:val="both"/>
        <w:ind w:firstLine="656"/>
        <w:spacing w:after="0" w:line="214" w:lineRule="auto"/>
        <w:tabs>
          <w:tab w:leader="none" w:pos="1293" w:val="left"/>
        </w:tabs>
        <w:numPr>
          <w:ilvl w:val="0"/>
          <w:numId w:val="30"/>
        </w:numPr>
        <w:rPr>
          <w:rFonts w:ascii="Arial" w:cs="Arial" w:eastAsia="Arial" w:hAnsi="Arial"/>
          <w:sz w:val="22"/>
          <w:szCs w:val="22"/>
          <w:color w:val="auto"/>
        </w:rPr>
      </w:pPr>
      <w:r>
        <w:rPr>
          <w:rFonts w:ascii="Arial" w:cs="Arial" w:eastAsia="Arial" w:hAnsi="Arial"/>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40" w:right="399" w:bottom="1440" w:gutter="0" w:footer="0" w:header="0"/>
        </w:sectPr>
      </w:pPr>
    </w:p>
    <w:bookmarkStart w:id="122" w:name="page123"/>
    <w:bookmarkEnd w:id="122"/>
    <w:p>
      <w:pPr>
        <w:spacing w:after="0" w:line="211" w:lineRule="exact"/>
        <w:rPr>
          <w:sz w:val="20"/>
          <w:szCs w:val="20"/>
          <w:color w:val="auto"/>
        </w:rPr>
      </w:pPr>
    </w:p>
    <w:p>
      <w:pPr>
        <w:jc w:val="both"/>
        <w:ind w:right="20" w:firstLine="656"/>
        <w:spacing w:after="0" w:line="213" w:lineRule="auto"/>
        <w:tabs>
          <w:tab w:leader="none" w:pos="1296"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RSUs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Participant’s employer or any Subsidiary.</w:t>
      </w:r>
    </w:p>
    <w:p>
      <w:pPr>
        <w:spacing w:after="0" w:line="161" w:lineRule="exact"/>
        <w:rPr>
          <w:rFonts w:ascii="Arial" w:cs="Arial" w:eastAsia="Arial" w:hAnsi="Arial"/>
          <w:sz w:val="22"/>
          <w:szCs w:val="22"/>
          <w:color w:val="auto"/>
        </w:rPr>
      </w:pPr>
    </w:p>
    <w:p>
      <w:pPr>
        <w:ind w:right="20" w:firstLine="656"/>
        <w:spacing w:after="0" w:line="246" w:lineRule="auto"/>
        <w:tabs>
          <w:tab w:leader="none" w:pos="1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questions under the Plan or under these Standard Terms and Conditions shall be decided by the Administrator in its total and absolute discretion.</w:t>
      </w:r>
    </w:p>
    <w:p>
      <w:pPr>
        <w:spacing w:after="0" w:line="156" w:lineRule="exact"/>
        <w:rPr>
          <w:rFonts w:ascii="Arial" w:cs="Arial" w:eastAsia="Arial" w:hAnsi="Arial"/>
          <w:sz w:val="18"/>
          <w:szCs w:val="18"/>
          <w:color w:val="auto"/>
        </w:rPr>
      </w:pPr>
    </w:p>
    <w:p>
      <w:pPr>
        <w:jc w:val="both"/>
        <w:ind w:firstLine="656"/>
        <w:spacing w:after="0" w:line="229" w:lineRule="auto"/>
        <w:tabs>
          <w:tab w:leader="none" w:pos="1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Award will be subject to recoupment in accordance with the Company’s compensation recovery (clawback) policy or policies then in effect. No recovery of compensation under any such policy will be an event giving rise to a right to resign for “good reason” or “constructive termination” (or similar term) under any agreement with the Company or a Subsidiary.</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DELIVERY</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By accepting the Grant Notice, the Participant hereby consents to the delivery of information (including, without limitation, information required to be delivered to the Participant pursuant to applicable securities laws) regarding the Company and the Subsidiaries, the Plan, and the RSUs via Company web</w:t>
      </w:r>
    </w:p>
    <w:p>
      <w:pPr>
        <w:spacing w:after="0"/>
        <w:rPr>
          <w:sz w:val="20"/>
          <w:szCs w:val="20"/>
          <w:color w:val="auto"/>
        </w:rPr>
      </w:pPr>
      <w:r>
        <w:rPr>
          <w:rFonts w:ascii="Arial" w:cs="Arial" w:eastAsia="Arial" w:hAnsi="Arial"/>
          <w:sz w:val="18"/>
          <w:szCs w:val="18"/>
          <w:color w:val="auto"/>
        </w:rPr>
        <w:t>site or other electronic delivery.</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ARBITRATION</w:t>
      </w:r>
    </w:p>
    <w:p>
      <w:pPr>
        <w:spacing w:after="0" w:line="108"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Any controversy arising out of or relating to the Grant Notice, these Standard Terms and Conditions, and/or the Plan (“</w:t>
      </w:r>
      <w:r>
        <w:rPr>
          <w:rFonts w:ascii="Arial" w:cs="Arial" w:eastAsia="Arial" w:hAnsi="Arial"/>
          <w:sz w:val="17"/>
          <w:szCs w:val="17"/>
          <w:b w:val="1"/>
          <w:bCs w:val="1"/>
          <w:i w:val="1"/>
          <w:iCs w:val="1"/>
          <w:color w:val="auto"/>
        </w:rPr>
        <w:t>Covered Claims</w:t>
      </w:r>
      <w:r>
        <w:rPr>
          <w:rFonts w:ascii="Arial" w:cs="Arial" w:eastAsia="Arial" w:hAnsi="Arial"/>
          <w:sz w:val="17"/>
          <w:szCs w:val="17"/>
          <w:color w:val="auto"/>
        </w:rPr>
        <w:t>”), shall be resolved in accordance with the terms and conditions of the Western Digital Technologies, Inc. Dispute Resolution Agreement (the “</w:t>
      </w:r>
      <w:r>
        <w:rPr>
          <w:rFonts w:ascii="Arial" w:cs="Arial" w:eastAsia="Arial" w:hAnsi="Arial"/>
          <w:sz w:val="17"/>
          <w:szCs w:val="17"/>
          <w:b w:val="1"/>
          <w:bCs w:val="1"/>
          <w:i w:val="1"/>
          <w:iCs w:val="1"/>
          <w:color w:val="auto"/>
        </w:rPr>
        <w:t>DRA</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If, however, Participant has opted out of the DRA, any Covered Claims shall be submitted to arbitration pursuant to this Section 11. Such arbitration shall</w:t>
      </w:r>
    </w:p>
    <w:p>
      <w:pPr>
        <w:spacing w:after="0" w:line="2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be held in Orange County, California, U.S.A., before a sole arbitrator selected from Judicial Arbitration and Mediation Services, Inc., Orange, California, or its successor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or if JAMS is no longer able to supply the arbitrator, such arbitrator shall be selected from the American Arbitration Association, and shall be conducted in accordance with the provisions of the Federal Arbitration Act; provided, however, that provisional injunctive relief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action in Delaware Chancery Court. To the fullest extent permitted by applicable law, Participant and the Company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Company and the Participant and may be enforced by any court of competent jurisdiction.</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reasonable fees and costs to the prevailing party. The parties agree that they are hereby waiving any rights to trial by jury in relation to any matter arising out of or in any way connected with any Covered Claim(s).</w:t>
      </w:r>
    </w:p>
    <w:p>
      <w:pPr>
        <w:spacing w:after="0" w:line="15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NON-U.S. EMPLOYEES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Award shall be subject to any additional terms and conditions for non-U.S. employees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and any terms and</w:t>
      </w:r>
    </w:p>
    <w:p>
      <w:pPr>
        <w:spacing w:after="0" w:line="21"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conditions for the Participant’s country set forth in Appendix B (“</w:t>
      </w:r>
      <w:r>
        <w:rPr>
          <w:rFonts w:ascii="Arial" w:cs="Arial" w:eastAsia="Arial" w:hAnsi="Arial"/>
          <w:sz w:val="16"/>
          <w:szCs w:val="16"/>
          <w:b w:val="1"/>
          <w:bCs w:val="1"/>
          <w:i w:val="1"/>
          <w:iCs w:val="1"/>
          <w:color w:val="auto"/>
        </w:rPr>
        <w:t>Appendix B</w:t>
      </w:r>
      <w:r>
        <w:rPr>
          <w:rFonts w:ascii="Arial" w:cs="Arial" w:eastAsia="Arial" w:hAnsi="Arial"/>
          <w:sz w:val="16"/>
          <w:szCs w:val="16"/>
          <w:color w:val="auto"/>
        </w:rPr>
        <w:t>”). Moreover, if the Participant relocates to one of the countries included in Appendix B, the terms and conditions for such country will apply to the Participant to the extent the Company determines that the application of such terms and conditions is necessary or advisable for legal or administrative reasons. Appendix A and Appendix B constitute part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80"/>
          </w:cols>
          <w:pgMar w:left="320" w:top="1440" w:right="399" w:bottom="1440" w:gutter="0" w:footer="0" w:header="0"/>
        </w:sectPr>
      </w:pPr>
    </w:p>
    <w:bookmarkStart w:id="123" w:name="page124"/>
    <w:bookmarkEnd w:id="123"/>
    <w:p>
      <w:pPr>
        <w:spacing w:after="0" w:line="45"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APPENDIX A</w:t>
      </w:r>
    </w:p>
    <w:p>
      <w:pPr>
        <w:spacing w:after="0" w:line="7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ADDITIONAL TERMS AND CONDITIONS OF RESTRICTED STOCK UNIT AWARD DOCUMENT</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FOR NON-U.S. EMPLOYEES</w:t>
      </w:r>
    </w:p>
    <w:p>
      <w:pPr>
        <w:spacing w:after="0" w:line="19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1. Terms of Plan Participation for Non-U.S. Participants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understands that this Appendix A contains additional terms and conditions that, together with the Plan and the Award Document, govern</w:t>
      </w:r>
    </w:p>
    <w:p>
      <w:pPr>
        <w:spacing w:after="0" w:line="2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w:t>
      </w:r>
      <w:r>
        <w:rPr>
          <w:rFonts w:ascii="Arial" w:cs="Arial" w:eastAsia="Arial" w:hAnsi="Arial"/>
          <w:sz w:val="17"/>
          <w:szCs w:val="17"/>
          <w:i w:val="1"/>
          <w:iCs w:val="1"/>
          <w:color w:val="auto"/>
        </w:rPr>
        <w:t>Capitalized terms used but not defined in this Appendix A shall have the same meanings assigned to them in the Plan and/or Award</w:t>
      </w:r>
    </w:p>
    <w:p>
      <w:pPr>
        <w:spacing w:after="0"/>
        <w:rPr>
          <w:sz w:val="20"/>
          <w:szCs w:val="20"/>
          <w:color w:val="auto"/>
        </w:rPr>
      </w:pPr>
      <w:r>
        <w:rPr>
          <w:rFonts w:ascii="Arial" w:cs="Arial" w:eastAsia="Arial" w:hAnsi="Arial"/>
          <w:sz w:val="18"/>
          <w:szCs w:val="18"/>
          <w:i w:val="1"/>
          <w:iCs w:val="1"/>
          <w:color w:val="auto"/>
        </w:rPr>
        <w:t>Document.</w:t>
      </w:r>
    </w:p>
    <w:p>
      <w:pPr>
        <w:spacing w:after="0" w:line="19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2. Withholding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5 of the Standard Terms and Conditions:</w:t>
      </w:r>
    </w:p>
    <w:p>
      <w:pPr>
        <w:spacing w:after="0" w:line="22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The Participant acknowledges that, regardless of any action taken by the Company or, if different, the Participant’s employer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the ultimate liability for all income tax, social insurance, payroll tax, fringe benefits tax, payment on account or other tax-related items related to the Participant’s participation in the Plan and this Award and legally applicable to the Participant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is and remains the Participant’s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RSUs; and (b) are not obligated to structure the terms of the grant or any aspect of the RSUs to reduce or eliminate the Participant’s liability for Tax-</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Related Items or achieve any particular tax result. If the Participant is or becomes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Participant agrees, in connection with any relevant taxable or tax withholding event, as applicable, to make adequate arrangements satisfactory to the Company and/or the Employer to satisfy all Tax-Related Items. In this regard, the Participant authorizes the Company and/or the Employer to satisfy the obligations with regard to all Tax-Related Items by one or a combination of the methods set forth in Section 8(f) of the Plan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Section 5 of the Standard Terms and Conditions. In addition, the Participant authorizes withholding from proceeds of the sale of shares of Common Stock acquired upon settlement of the RSUs either through a voluntary sale or through a mandatory sale arranged by the Company (on the Participant’s behalf pursuant to this authorization without further consent). If the Participant is subject to Section 16 of the Exchange Act, then withholding for Tax-Related</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Items shall be satisfied in accordance with Section 8(f) of the Plan, Section 5 of the Standard Terms and Conditions, and the withholding methodology approved by the Administrator for officers subject to Section 16 of the Exchange Act.</w:t>
      </w:r>
    </w:p>
    <w:p>
      <w:pPr>
        <w:ind w:left="660"/>
        <w:spacing w:after="0" w:line="233" w:lineRule="auto"/>
        <w:rPr>
          <w:sz w:val="20"/>
          <w:szCs w:val="20"/>
          <w:color w:val="auto"/>
        </w:rPr>
      </w:pPr>
      <w:r>
        <w:rPr>
          <w:rFonts w:ascii="Arial" w:cs="Arial" w:eastAsia="Arial" w:hAnsi="Arial"/>
          <w:sz w:val="17"/>
          <w:szCs w:val="17"/>
          <w:color w:val="auto"/>
        </w:rPr>
        <w:t>Depending on the withholding method, the Company and/or the Employer may withhold or account for Tax-Related Items by considering</w:t>
      </w:r>
    </w:p>
    <w:p>
      <w:pPr>
        <w:jc w:val="both"/>
        <w:spacing w:after="0" w:line="234" w:lineRule="auto"/>
        <w:rPr>
          <w:sz w:val="20"/>
          <w:szCs w:val="20"/>
          <w:color w:val="auto"/>
        </w:rPr>
      </w:pPr>
      <w:r>
        <w:rPr>
          <w:rFonts w:ascii="Arial" w:cs="Arial" w:eastAsia="Arial" w:hAnsi="Arial"/>
          <w:sz w:val="16"/>
          <w:szCs w:val="16"/>
          <w:color w:val="auto"/>
        </w:rPr>
        <w:t>applicable minimum withholding amounts or other applicable withholding rates, including maximum applicable rates. In the event of over-withholding, the Participant may receive a refund of any over-withheld amount in cash and will have no entitlement to the equivalent in Common Stock from the Company or the Employer; otherwise, the Participant may be able to seek a refund from the local tax authorities. In the event of under-withholding, the Participant</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may be required to pay any additional Tax-Related Items directly to the applicable tax authority or to the Company and/or the Employer. If the Tax-Related Items are satisfied by withholding in shares of Common Stock, for tax purposes, the Participant is deemed to have been issued the full number of shares subject to the vested RSUs, notwithstanding that a number of the Shares are held back solely for the purpose of paying the Tax-Related Items.</w:t>
      </w:r>
    </w:p>
    <w:p>
      <w:pPr>
        <w:spacing w:after="0" w:line="19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Participant further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of Common Stock or the proceeds from the sale of shares if the Participant fails to comply with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Participant’s obligations in connection with the Tax-Related Items.</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3. Nature of Grant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RSUs and any shares of Common Stock, the Participant agrees that:</w:t>
      </w:r>
    </w:p>
    <w:p>
      <w:pPr>
        <w:spacing w:after="0" w:line="198" w:lineRule="exact"/>
        <w:rPr>
          <w:sz w:val="20"/>
          <w:szCs w:val="20"/>
          <w:color w:val="auto"/>
        </w:rPr>
      </w:pPr>
    </w:p>
    <w:p>
      <w:pPr>
        <w:ind w:firstLine="1304"/>
        <w:spacing w:after="0" w:line="235" w:lineRule="auto"/>
        <w:tabs>
          <w:tab w:leader="none" w:pos="19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w:t>
      </w:r>
    </w:p>
    <w:p>
      <w:pPr>
        <w:sectPr>
          <w:pgSz w:w="11900" w:h="16838" w:orient="portrait"/>
          <w:cols w:equalWidth="0" w:num="1">
            <w:col w:w="11240"/>
          </w:cols>
          <w:pgMar w:left="320" w:top="1440" w:right="339" w:bottom="1440" w:gutter="0" w:footer="0" w:header="0"/>
        </w:sectPr>
      </w:pPr>
    </w:p>
    <w:bookmarkStart w:id="124" w:name="page125"/>
    <w:bookmarkEnd w:id="124"/>
    <w:p>
      <w:pPr>
        <w:ind w:right="20" w:firstLine="1304"/>
        <w:spacing w:after="0" w:line="235" w:lineRule="auto"/>
        <w:tabs>
          <w:tab w:leader="none" w:pos="1938"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75" w:lineRule="exact"/>
        <w:rPr>
          <w:rFonts w:ascii="Arial" w:cs="Arial" w:eastAsia="Arial" w:hAnsi="Arial"/>
          <w:sz w:val="18"/>
          <w:szCs w:val="18"/>
          <w:color w:val="auto"/>
        </w:rPr>
      </w:pPr>
    </w:p>
    <w:p>
      <w:pPr>
        <w:ind w:left="1940" w:hanging="636"/>
        <w:spacing w:after="0"/>
        <w:tabs>
          <w:tab w:leader="none" w:pos="19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decisions with respect to future RSUs or other grants, if any, will be at the sole discretion of the Company;</w:t>
      </w:r>
    </w:p>
    <w:p>
      <w:pPr>
        <w:spacing w:after="0" w:line="184" w:lineRule="exact"/>
        <w:rPr>
          <w:rFonts w:ascii="Arial" w:cs="Arial" w:eastAsia="Arial" w:hAnsi="Arial"/>
          <w:sz w:val="18"/>
          <w:szCs w:val="18"/>
          <w:color w:val="auto"/>
        </w:rPr>
      </w:pPr>
    </w:p>
    <w:p>
      <w:pPr>
        <w:ind w:left="1940" w:hanging="636"/>
        <w:spacing w:after="0"/>
        <w:tabs>
          <w:tab w:leader="none" w:pos="19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84" w:lineRule="exact"/>
        <w:rPr>
          <w:rFonts w:ascii="Arial" w:cs="Arial" w:eastAsia="Arial" w:hAnsi="Arial"/>
          <w:sz w:val="18"/>
          <w:szCs w:val="18"/>
          <w:color w:val="auto"/>
        </w:rPr>
      </w:pPr>
    </w:p>
    <w:p>
      <w:pPr>
        <w:ind w:firstLine="1304"/>
        <w:spacing w:after="0" w:line="246" w:lineRule="auto"/>
        <w:tabs>
          <w:tab w:leader="none" w:pos="1941"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RSUs and any shares of Common Stock acquired under the Plan, and the income and value of the same, are not intended to replace any pension rights or compensation;</w:t>
      </w:r>
    </w:p>
    <w:p>
      <w:pPr>
        <w:spacing w:after="0" w:line="156" w:lineRule="exact"/>
        <w:rPr>
          <w:rFonts w:ascii="Arial" w:cs="Arial" w:eastAsia="Arial" w:hAnsi="Arial"/>
          <w:sz w:val="18"/>
          <w:szCs w:val="18"/>
          <w:color w:val="auto"/>
        </w:rPr>
      </w:pPr>
    </w:p>
    <w:p>
      <w:pPr>
        <w:jc w:val="both"/>
        <w:ind w:firstLine="1304"/>
        <w:spacing w:after="0" w:line="219" w:lineRule="auto"/>
        <w:tabs>
          <w:tab w:leader="none" w:pos="1935"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Employer or any Subsidiary;</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RSUs is unknown, indeterminable, and cannot be predicted with</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certainty;</w:t>
      </w:r>
    </w:p>
    <w:p>
      <w:pPr>
        <w:spacing w:after="0" w:line="168" w:lineRule="exact"/>
        <w:rPr>
          <w:rFonts w:ascii="Arial" w:cs="Arial" w:eastAsia="Arial" w:hAnsi="Arial"/>
          <w:sz w:val="16"/>
          <w:szCs w:val="16"/>
          <w:color w:val="auto"/>
        </w:rPr>
      </w:pPr>
    </w:p>
    <w:p>
      <w:pPr>
        <w:ind w:firstLine="1304"/>
        <w:spacing w:after="0" w:line="307" w:lineRule="auto"/>
        <w:tabs>
          <w:tab w:leader="none" w:pos="1938" w:val="left"/>
        </w:tabs>
        <w:numPr>
          <w:ilvl w:val="1"/>
          <w:numId w:val="34"/>
        </w:numPr>
        <w:rPr>
          <w:rFonts w:ascii="Arial" w:cs="Arial" w:eastAsia="Arial" w:hAnsi="Arial"/>
          <w:sz w:val="16"/>
          <w:szCs w:val="16"/>
          <w:color w:val="auto"/>
        </w:rPr>
      </w:pPr>
      <w:r>
        <w:rPr>
          <w:rFonts w:ascii="Arial" w:cs="Arial" w:eastAsia="Arial" w:hAnsi="Arial"/>
          <w:sz w:val="16"/>
          <w:szCs w:val="16"/>
          <w:color w:val="auto"/>
        </w:rPr>
        <w:t>unless otherwise agreed with the Company, the RSUs and the shares of Common Stock acquired under the Plan, and the income and value of same, are not granted as consideration for, or in connection with, the service the Participant may provide as a director of any Subsidiary;</w:t>
      </w:r>
    </w:p>
    <w:p>
      <w:pPr>
        <w:spacing w:after="0" w:line="109" w:lineRule="exact"/>
        <w:rPr>
          <w:rFonts w:ascii="Arial" w:cs="Arial" w:eastAsia="Arial" w:hAnsi="Arial"/>
          <w:sz w:val="16"/>
          <w:szCs w:val="16"/>
          <w:color w:val="auto"/>
        </w:rPr>
      </w:pPr>
    </w:p>
    <w:p>
      <w:pPr>
        <w:jc w:val="both"/>
        <w:ind w:firstLine="1304"/>
        <w:spacing w:after="0" w:line="245" w:lineRule="auto"/>
        <w:tabs>
          <w:tab w:leader="none" w:pos="1938"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RSUs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57" w:lineRule="exact"/>
        <w:rPr>
          <w:rFonts w:ascii="Arial" w:cs="Arial" w:eastAsia="Arial" w:hAnsi="Arial"/>
          <w:sz w:val="17"/>
          <w:szCs w:val="17"/>
          <w:color w:val="auto"/>
        </w:rPr>
      </w:pPr>
    </w:p>
    <w:p>
      <w:pPr>
        <w:jc w:val="both"/>
        <w:ind w:firstLine="1304"/>
        <w:spacing w:after="0" w:line="229" w:lineRule="auto"/>
        <w:tabs>
          <w:tab w:leader="none" w:pos="1938" w:val="left"/>
        </w:tabs>
        <w:numPr>
          <w:ilvl w:val="1"/>
          <w:numId w:val="34"/>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RSUs and the benefits evidenced by the Award Document do not create any entitlement to have the RSUs or any such benefits transferred to, or assumed by, another company nor to be exchanged, cashed out or substituted for, in connection with any corporate transaction affecting the shares; and</w:t>
      </w:r>
    </w:p>
    <w:p>
      <w:pPr>
        <w:spacing w:after="0" w:line="163" w:lineRule="exact"/>
        <w:rPr>
          <w:rFonts w:ascii="Arial" w:cs="Arial" w:eastAsia="Arial" w:hAnsi="Arial"/>
          <w:sz w:val="18"/>
          <w:szCs w:val="18"/>
          <w:color w:val="auto"/>
        </w:rPr>
      </w:pPr>
    </w:p>
    <w:p>
      <w:pPr>
        <w:jc w:val="both"/>
        <w:ind w:firstLine="1304"/>
        <w:spacing w:after="0" w:line="229" w:lineRule="auto"/>
        <w:tabs>
          <w:tab w:leader="none" w:pos="1938" w:val="left"/>
        </w:tabs>
        <w:numPr>
          <w:ilvl w:val="1"/>
          <w:numId w:val="34"/>
        </w:numPr>
        <w:rPr>
          <w:rFonts w:ascii="Arial" w:cs="Arial" w:eastAsia="Arial" w:hAnsi="Arial"/>
          <w:sz w:val="18"/>
          <w:szCs w:val="18"/>
          <w:color w:val="auto"/>
        </w:rPr>
      </w:pPr>
      <w:r>
        <w:rPr>
          <w:rFonts w:ascii="Arial" w:cs="Arial" w:eastAsia="Arial" w:hAnsi="Arial"/>
          <w:sz w:val="18"/>
          <w:szCs w:val="18"/>
          <w:color w:val="auto"/>
        </w:rPr>
        <w:t>neither the Company, the Employer nor any Subsidiary shall be liable for any foreign exchange rate fluctuation between the Participant’s local currency and the U.S. dollar that may affect the value of the RSUs or of any amounts due to the Participant pursuant to the vesting of the RSUs or the subsequent sale of any shares of Common Stock acquired upon vesting.</w:t>
      </w:r>
    </w:p>
    <w:p>
      <w:pPr>
        <w:spacing w:after="0" w:line="159" w:lineRule="exact"/>
        <w:rPr>
          <w:rFonts w:ascii="Arial" w:cs="Arial" w:eastAsia="Arial" w:hAnsi="Arial"/>
          <w:sz w:val="18"/>
          <w:szCs w:val="18"/>
          <w:color w:val="auto"/>
        </w:rPr>
      </w:pPr>
    </w:p>
    <w:p>
      <w:pPr>
        <w:ind w:left="1300" w:hanging="158"/>
        <w:spacing w:after="0"/>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By accepting the RSUs via the Company’s acceptance procedure, the Participant is declaring that he or she agrees with the data processing</w:t>
      </w:r>
    </w:p>
    <w:p>
      <w:pPr>
        <w:spacing w:after="0" w:line="33" w:lineRule="exact"/>
        <w:rPr>
          <w:sz w:val="20"/>
          <w:szCs w:val="20"/>
          <w:color w:val="auto"/>
        </w:rPr>
      </w:pPr>
    </w:p>
    <w:p>
      <w:pPr>
        <w:jc w:val="both"/>
        <w:spacing w:after="0" w:line="231" w:lineRule="auto"/>
        <w:rPr>
          <w:sz w:val="20"/>
          <w:szCs w:val="20"/>
          <w:color w:val="auto"/>
        </w:rPr>
      </w:pPr>
      <w:r>
        <w:rPr>
          <w:rFonts w:ascii="Arial" w:cs="Arial" w:eastAsia="Arial" w:hAnsi="Arial"/>
          <w:sz w:val="17"/>
          <w:szCs w:val="17"/>
          <w:b w:val="1"/>
          <w:bCs w:val="1"/>
          <w:i w:val="1"/>
          <w:iCs w:val="1"/>
          <w:color w:val="auto"/>
        </w:rPr>
        <w:t>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76" w:lineRule="exact"/>
        <w:rPr>
          <w:sz w:val="20"/>
          <w:szCs w:val="20"/>
          <w:color w:val="auto"/>
        </w:rPr>
      </w:pPr>
    </w:p>
    <w:p>
      <w:pPr>
        <w:jc w:val="both"/>
        <w:ind w:firstLine="1304"/>
        <w:spacing w:after="0" w:line="219" w:lineRule="auto"/>
        <w:tabs>
          <w:tab w:leader="none" w:pos="193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Declaration of Consent</w:t>
      </w:r>
      <w:r>
        <w:rPr>
          <w:rFonts w:ascii="Arial" w:cs="Arial" w:eastAsia="Arial" w:hAnsi="Arial"/>
          <w:sz w:val="18"/>
          <w:szCs w:val="18"/>
          <w:b w:val="1"/>
          <w:bCs w:val="1"/>
          <w:i w:val="1"/>
          <w:iCs w:val="1"/>
          <w:color w:val="auto"/>
        </w:rPr>
        <w:t>. The Participant understands that he or she needs to review the following information about the processing of the Participant’s personal data by or on behalf of the Company, the Employer and/or any Subsidiary as described in this Award Document and any other RSU grant materials (the “Personal Data”) and declare his or her consent. As regards the processing of the Participant’s Personal Data in connection with the Plan and this Award Document, the Participant understands that the Company is the controller of the Participant’s Personal Data.</w:t>
      </w:r>
    </w:p>
    <w:p>
      <w:pPr>
        <w:spacing w:after="0" w:line="162" w:lineRule="exact"/>
        <w:rPr>
          <w:rFonts w:ascii="Arial" w:cs="Arial" w:eastAsia="Arial" w:hAnsi="Arial"/>
          <w:sz w:val="18"/>
          <w:szCs w:val="18"/>
          <w:b w:val="1"/>
          <w:bCs w:val="1"/>
          <w:color w:val="auto"/>
        </w:rPr>
      </w:pPr>
    </w:p>
    <w:p>
      <w:pPr>
        <w:jc w:val="both"/>
        <w:ind w:firstLine="1304"/>
        <w:spacing w:after="0" w:line="229" w:lineRule="auto"/>
        <w:tabs>
          <w:tab w:leader="none" w:pos="1934"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Data Processing and Legal Basis</w:t>
      </w:r>
      <w:r>
        <w:rPr>
          <w:rFonts w:ascii="Arial" w:cs="Arial" w:eastAsia="Arial" w:hAnsi="Arial"/>
          <w:sz w:val="17"/>
          <w:szCs w:val="17"/>
          <w:b w:val="1"/>
          <w:bCs w:val="1"/>
          <w:i w:val="1"/>
          <w:iCs w:val="1"/>
          <w:color w:val="auto"/>
        </w:rPr>
        <w:t>. The Company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details of all RSUs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81" w:right="339" w:bottom="1440" w:gutter="0" w:footer="0" w:header="0"/>
        </w:sectPr>
      </w:pPr>
    </w:p>
    <w:bookmarkStart w:id="125" w:name="page126"/>
    <w:bookmarkEnd w:id="125"/>
    <w:p>
      <w:pPr>
        <w:jc w:val="both"/>
        <w:ind w:firstLine="1304"/>
        <w:spacing w:after="0" w:line="228" w:lineRule="auto"/>
        <w:tabs>
          <w:tab w:leader="none" w:pos="1941"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Stock Plan Administration Service Providers</w:t>
      </w:r>
      <w:r>
        <w:rPr>
          <w:rFonts w:ascii="Arial" w:cs="Arial" w:eastAsia="Arial" w:hAnsi="Arial"/>
          <w:sz w:val="17"/>
          <w:szCs w:val="17"/>
          <w:b w:val="1"/>
          <w:bCs w:val="1"/>
          <w:i w:val="1"/>
          <w:iCs w:val="1"/>
          <w:color w:val="auto"/>
        </w:rPr>
        <w:t>. The Participant understands that the Company transfers the Participant’s Personal Data, or parts thereof, to E*TRADE Financial Corporation Services, Inc. (and its affiliated companies), an independent service provider based in the United States or IBI Capital for Israeli employees, each of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174" w:lineRule="exact"/>
        <w:rPr>
          <w:rFonts w:ascii="Arial" w:cs="Arial" w:eastAsia="Arial" w:hAnsi="Arial"/>
          <w:sz w:val="17"/>
          <w:szCs w:val="17"/>
          <w:b w:val="1"/>
          <w:bCs w:val="1"/>
          <w:color w:val="auto"/>
        </w:rPr>
      </w:pPr>
    </w:p>
    <w:p>
      <w:pPr>
        <w:jc w:val="both"/>
        <w:ind w:firstLine="1304"/>
        <w:spacing w:after="0" w:line="259" w:lineRule="auto"/>
        <w:tabs>
          <w:tab w:leader="none" w:pos="1934"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xml:space="preserve"> 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Company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Company’s legal basis for the transfer of the Participant’s Personal Data is the Participant’s consent.</w:t>
      </w:r>
    </w:p>
    <w:p>
      <w:pPr>
        <w:spacing w:after="0" w:line="150" w:lineRule="exact"/>
        <w:rPr>
          <w:rFonts w:ascii="Arial" w:cs="Arial" w:eastAsia="Arial" w:hAnsi="Arial"/>
          <w:sz w:val="15"/>
          <w:szCs w:val="15"/>
          <w:b w:val="1"/>
          <w:bCs w:val="1"/>
          <w:color w:val="auto"/>
        </w:rPr>
      </w:pPr>
    </w:p>
    <w:p>
      <w:pPr>
        <w:jc w:val="both"/>
        <w:ind w:firstLine="1304"/>
        <w:spacing w:after="0" w:line="293" w:lineRule="auto"/>
        <w:tabs>
          <w:tab w:leader="none" w:pos="1941"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xml:space="preserve"> The Company will hold and use the Data only as long as is necessary to implement, administer and manage participation in the Plan or as required to comply with tax, exchange control, labor and securities laws, other applicable law, exercise or defense of legal rights, and archiving, back-up and deletion processes. This period may extend beyond the Participant's period of employment with the Employer.</w:t>
      </w:r>
    </w:p>
    <w:p>
      <w:pPr>
        <w:spacing w:after="0" w:line="124" w:lineRule="exact"/>
        <w:rPr>
          <w:rFonts w:ascii="Arial" w:cs="Arial" w:eastAsia="Arial" w:hAnsi="Arial"/>
          <w:sz w:val="15"/>
          <w:szCs w:val="15"/>
          <w:b w:val="1"/>
          <w:bCs w:val="1"/>
          <w:color w:val="auto"/>
        </w:rPr>
      </w:pPr>
    </w:p>
    <w:p>
      <w:pPr>
        <w:jc w:val="both"/>
        <w:ind w:firstLine="1304"/>
        <w:spacing w:after="0" w:line="277" w:lineRule="auto"/>
        <w:tabs>
          <w:tab w:leader="none" w:pos="1935"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Voluntariness and Consequences of Denial/Withdrawal of Consent</w:t>
      </w:r>
      <w:r>
        <w:rPr>
          <w:rFonts w:ascii="Arial" w:cs="Arial" w:eastAsia="Arial" w:hAnsi="Arial"/>
          <w:sz w:val="15"/>
          <w:szCs w:val="15"/>
          <w:b w:val="1"/>
          <w:bCs w:val="1"/>
          <w:i w:val="1"/>
          <w:iCs w:val="1"/>
          <w:color w:val="auto"/>
        </w:rPr>
        <w:t>. Participation in the Plan is voluntary and the Participant is providing the consents herein on a purely voluntary basis. If the Participant does not consent, or later seeks to revoke their consent, the Participant's salary from or employment or other service with the Employer will not be affected; the only consequence of refusing or withdrawing consent is that the Company would not be able to grant RSUs or other equity awards to the Participant or administer or maintain such awards.</w:t>
      </w:r>
    </w:p>
    <w:p>
      <w:pPr>
        <w:spacing w:after="0" w:line="135" w:lineRule="exact"/>
        <w:rPr>
          <w:rFonts w:ascii="Arial" w:cs="Arial" w:eastAsia="Arial" w:hAnsi="Arial"/>
          <w:sz w:val="15"/>
          <w:szCs w:val="15"/>
          <w:b w:val="1"/>
          <w:bCs w:val="1"/>
          <w:color w:val="auto"/>
        </w:rPr>
      </w:pPr>
    </w:p>
    <w:p>
      <w:pPr>
        <w:jc w:val="both"/>
        <w:ind w:firstLine="1304"/>
        <w:spacing w:after="0"/>
        <w:tabs>
          <w:tab w:leader="none" w:pos="1938"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64" w:lineRule="exact"/>
        <w:rPr>
          <w:rFonts w:ascii="Arial" w:cs="Arial" w:eastAsia="Arial" w:hAnsi="Arial"/>
          <w:sz w:val="16"/>
          <w:szCs w:val="16"/>
          <w:b w:val="1"/>
          <w:bCs w:val="1"/>
          <w:color w:val="auto"/>
        </w:rPr>
      </w:pPr>
    </w:p>
    <w:p>
      <w:pPr>
        <w:jc w:val="both"/>
        <w:ind w:firstLine="1304"/>
        <w:spacing w:after="0" w:line="229" w:lineRule="auto"/>
        <w:tabs>
          <w:tab w:leader="none" w:pos="1934"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Alternate Basis and Additional Consents.</w:t>
      </w:r>
      <w:r>
        <w:rPr>
          <w:rFonts w:ascii="Arial" w:cs="Arial" w:eastAsia="Arial" w:hAnsi="Arial"/>
          <w:sz w:val="17"/>
          <w:szCs w:val="17"/>
          <w:b w:val="1"/>
          <w:bCs w:val="1"/>
          <w:i w:val="1"/>
          <w:iCs w:val="1"/>
          <w:color w:val="auto"/>
        </w:rPr>
        <w:t xml:space="preserve"> Finally, the Participant understands that the Company may rely on a different basis for the processing or transfer of Personal Data in the future and/or request that the Participant provide another data privacy consent. If applicable, the Participant agrees that upon request of the Company or the Employer, the Participant will provide an executed acknowledgement or data privacy consent form (or any other agreements or consents) that the Company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81" w:right="339" w:bottom="1440" w:gutter="0" w:footer="0" w:header="0"/>
        </w:sectPr>
      </w:pPr>
    </w:p>
    <w:bookmarkStart w:id="126" w:name="page127"/>
    <w:bookmarkEnd w:id="126"/>
    <w:p>
      <w:pPr>
        <w:ind w:left="1140"/>
        <w:spacing w:after="0"/>
        <w:rPr>
          <w:sz w:val="20"/>
          <w:szCs w:val="20"/>
          <w:color w:val="auto"/>
        </w:rPr>
      </w:pPr>
      <w:r>
        <w:rPr>
          <w:rFonts w:ascii="Arial" w:cs="Arial" w:eastAsia="Arial" w:hAnsi="Arial"/>
          <w:sz w:val="18"/>
          <w:szCs w:val="18"/>
          <w:b w:val="1"/>
          <w:bCs w:val="1"/>
          <w:color w:val="auto"/>
        </w:rPr>
        <w:t>5. Electronic Delivery and Acceptance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agrees that the Company may, in its sole discretion, decide to deliver by email or other electronic means any documents relating to the Plan</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the RSUs. Further, the Participant agrees to receive such documents by electronic delivery and agrees to participate in the Plan through an on-line or electronic system established and maintained by the Company or by a third party designated by the Company.</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6. Insider Trading/Market Abuse Laws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Participant agrees to comply with the Company’s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the RSUs)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Company insider trading policy. The Participant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 responsible for ensuring compliance with any applicable restrictions and should consult his or her personal legal advisor on this matter.</w:t>
      </w:r>
    </w:p>
    <w:p>
      <w:pPr>
        <w:spacing w:after="0" w:line="19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7. Exchange Control, Tax and/or Foreign Asset/Account Reporting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Participant acknowledges that there may be exchange control, tax, foreign asset and/or account reporting requirements which may affect the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Participant’s ability to acquire or hold shares of Common Stock acquired under the Plan or cash received from participating in the Plan (including from any dividend equivalents paid with respect to the RSUs or dividends paid on shares of Common Stock acquired under the Plan) in a brokerage/bank account or legal entity outside the Participant’s country. The Participant may be required to report such accounts, assets, the balances therein, the value thereof and/or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In addition, the Participant agrees to take any and all actions, and consent to any and all actions taken by the Company or the Employer</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as may be required to allow the Company or the Employer to comply with local laws, rules and regulations in the Participant's country of residence (and country of employment, if different). The Participant acknowledges that it is the Participant’s responsibility to be compliant with such regulations, and the Participant should consult his or her personal legal advisor for any details.</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8. Language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Participant acknowledges that he or she is sufficiently proficient in English, or has consulted with an advisor who is sufficiently proficient in English so as to allow the Participant to understand the terms and conditions of this Award Document. Furthermore, if the Award Document or any other document</w:t>
      </w:r>
    </w:p>
    <w:p>
      <w:pPr>
        <w:jc w:val="both"/>
        <w:spacing w:after="0" w:line="226" w:lineRule="auto"/>
        <w:rPr>
          <w:sz w:val="20"/>
          <w:szCs w:val="20"/>
          <w:color w:val="auto"/>
        </w:rPr>
      </w:pPr>
      <w:r>
        <w:rPr>
          <w:rFonts w:ascii="Arial" w:cs="Arial" w:eastAsia="Arial" w:hAnsi="Arial"/>
          <w:sz w:val="18"/>
          <w:szCs w:val="18"/>
          <w:color w:val="auto"/>
        </w:rPr>
        <w:t>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77"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b w:val="1"/>
          <w:bCs w:val="1"/>
          <w:color w:val="auto"/>
        </w:rPr>
        <w:t>Exhibit 10.2.4</w:t>
      </w:r>
    </w:p>
    <w:p>
      <w:pPr>
        <w:jc w:val="center"/>
        <w:spacing w:after="0" w:line="214" w:lineRule="auto"/>
        <w:rPr>
          <w:sz w:val="20"/>
          <w:szCs w:val="20"/>
          <w:color w:val="auto"/>
        </w:rPr>
      </w:pPr>
      <w:r>
        <w:rPr>
          <w:rFonts w:ascii="Arial" w:cs="Arial" w:eastAsia="Arial" w:hAnsi="Arial"/>
          <w:sz w:val="22"/>
          <w:szCs w:val="22"/>
          <w:b w:val="1"/>
          <w:bCs w:val="1"/>
          <w:color w:val="auto"/>
        </w:rPr>
        <w:t>WESTERN DIGITAL CORPORATION 2021 LONG-TERM INCENTIVE PLAN AMENDED AND RESTATED NON-EMPLOYEE DIRECTOR RESTRICTED STOCK UNIT GRANT PROGRAM</w:t>
      </w:r>
    </w:p>
    <w:p>
      <w:pPr>
        <w:spacing w:after="0" w:line="181" w:lineRule="exact"/>
        <w:rPr>
          <w:sz w:val="20"/>
          <w:szCs w:val="20"/>
          <w:color w:val="auto"/>
        </w:rPr>
      </w:pPr>
    </w:p>
    <w:p>
      <w:pPr>
        <w:jc w:val="both"/>
        <w:ind w:firstLine="8"/>
        <w:spacing w:after="0" w:line="244" w:lineRule="auto"/>
        <w:tabs>
          <w:tab w:leader="none" w:pos="648"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Establishment</w:t>
      </w:r>
      <w:r>
        <w:rPr>
          <w:rFonts w:ascii="Arial" w:cs="Arial" w:eastAsia="Arial" w:hAnsi="Arial"/>
          <w:sz w:val="19"/>
          <w:szCs w:val="19"/>
          <w:color w:val="auto"/>
        </w:rPr>
        <w:t>. The Company maintains the Western Digital Corporation Non-Employee Director Restricted Stock Unit</w:t>
      </w:r>
      <w:r>
        <w:rPr>
          <w:rFonts w:ascii="Arial" w:cs="Arial" w:eastAsia="Arial" w:hAnsi="Arial"/>
          <w:sz w:val="19"/>
          <w:szCs w:val="19"/>
          <w:b w:val="1"/>
          <w:bCs w:val="1"/>
          <w:color w:val="auto"/>
        </w:rPr>
        <w:t xml:space="preserve"> </w:t>
      </w:r>
      <w:r>
        <w:rPr>
          <w:rFonts w:ascii="Arial" w:cs="Arial" w:eastAsia="Arial" w:hAnsi="Arial"/>
          <w:sz w:val="19"/>
          <w:szCs w:val="19"/>
          <w:color w:val="auto"/>
        </w:rPr>
        <w:t>Program (the “</w:t>
      </w:r>
      <w:r>
        <w:rPr>
          <w:rFonts w:ascii="Arial" w:cs="Arial" w:eastAsia="Arial" w:hAnsi="Arial"/>
          <w:sz w:val="19"/>
          <w:szCs w:val="19"/>
          <w:b w:val="1"/>
          <w:bCs w:val="1"/>
          <w:color w:val="auto"/>
        </w:rPr>
        <w:t>Program</w:t>
      </w:r>
      <w:r>
        <w:rPr>
          <w:rFonts w:ascii="Arial" w:cs="Arial" w:eastAsia="Arial" w:hAnsi="Arial"/>
          <w:sz w:val="19"/>
          <w:szCs w:val="19"/>
          <w:color w:val="auto"/>
        </w:rPr>
        <w:t>”), which is hereby amended and restated in its entirety effective as of May 23, 2023 (the “</w:t>
      </w:r>
      <w:r>
        <w:rPr>
          <w:rFonts w:ascii="Arial" w:cs="Arial" w:eastAsia="Arial" w:hAnsi="Arial"/>
          <w:sz w:val="19"/>
          <w:szCs w:val="19"/>
          <w:b w:val="1"/>
          <w:bCs w:val="1"/>
          <w:color w:val="auto"/>
        </w:rPr>
        <w:t>Effective</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This amendment and restatement of the Program is effective as to grants on and after the Effective Date; awards granted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Program prior to the Effective Date are governed by the applicable terms of the Program as in effect on the date of grant of the award. Any shares of Common Stock issued with respect to Restricted Stock Unit Awards granted under the Program shall be charged against the applicable share limits of the Western Digital Corporation 2021 Long-Term Incentive Plan, as may be amended and/or restated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 For the avoidance of doubt, the grant of a Cash Award, and its subsequent settlement, shall in no event reduce the number of shares of Common Stock available for issuance under the Plan. Except as otherwise expressly provided herein, the provisions of the Plan shall govern all awards made pursuant to the Program. Capitalized terms are defined in the Plan if not defined herein.</w:t>
      </w:r>
    </w:p>
    <w:p>
      <w:pPr>
        <w:spacing w:after="0" w:line="154" w:lineRule="exact"/>
        <w:rPr>
          <w:rFonts w:ascii="Arial" w:cs="Arial" w:eastAsia="Arial" w:hAnsi="Arial"/>
          <w:sz w:val="19"/>
          <w:szCs w:val="19"/>
          <w:b w:val="1"/>
          <w:bCs w:val="1"/>
          <w:color w:val="auto"/>
        </w:rPr>
      </w:pPr>
    </w:p>
    <w:p>
      <w:pPr>
        <w:jc w:val="both"/>
        <w:ind w:firstLine="8"/>
        <w:spacing w:after="0" w:line="217" w:lineRule="auto"/>
        <w:tabs>
          <w:tab w:leader="none" w:pos="648"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Program is to promote the success of the Company and the interests of its stockholders by</w:t>
      </w:r>
      <w:r>
        <w:rPr>
          <w:rFonts w:ascii="Arial" w:cs="Arial" w:eastAsia="Arial" w:hAnsi="Arial"/>
          <w:sz w:val="22"/>
          <w:szCs w:val="22"/>
          <w:b w:val="1"/>
          <w:bCs w:val="1"/>
          <w:color w:val="auto"/>
        </w:rPr>
        <w:t xml:space="preserve"> </w:t>
      </w:r>
      <w:r>
        <w:rPr>
          <w:rFonts w:ascii="Arial" w:cs="Arial" w:eastAsia="Arial" w:hAnsi="Arial"/>
          <w:sz w:val="22"/>
          <w:szCs w:val="22"/>
          <w:color w:val="auto"/>
        </w:rPr>
        <w:t>providing a means to attract and retain qualified persons who are not officers or employees of the Company or one of its Subsidiaries to serve as members of the Board (“</w:t>
      </w:r>
      <w:r>
        <w:rPr>
          <w:rFonts w:ascii="Arial" w:cs="Arial" w:eastAsia="Arial" w:hAnsi="Arial"/>
          <w:sz w:val="22"/>
          <w:szCs w:val="22"/>
          <w:b w:val="1"/>
          <w:bCs w:val="1"/>
          <w:color w:val="auto"/>
        </w:rPr>
        <w:t>Non-Employee Directors</w:t>
      </w:r>
      <w:r>
        <w:rPr>
          <w:rFonts w:ascii="Arial" w:cs="Arial" w:eastAsia="Arial" w:hAnsi="Arial"/>
          <w:sz w:val="22"/>
          <w:szCs w:val="22"/>
          <w:color w:val="auto"/>
        </w:rPr>
        <w:t>”) through an opportunity to receive Cash Awards or to acquire an ownership interest in the Company and more closely aligning the interests of Non-Employee Directors and stockholders.</w:t>
      </w:r>
    </w:p>
    <w:p>
      <w:pPr>
        <w:spacing w:after="0" w:line="152" w:lineRule="exact"/>
        <w:rPr>
          <w:rFonts w:ascii="Arial" w:cs="Arial" w:eastAsia="Arial" w:hAnsi="Arial"/>
          <w:sz w:val="22"/>
          <w:szCs w:val="22"/>
          <w:b w:val="1"/>
          <w:bCs w:val="1"/>
          <w:color w:val="auto"/>
        </w:rPr>
      </w:pPr>
    </w:p>
    <w:p>
      <w:pPr>
        <w:jc w:val="both"/>
        <w:ind w:firstLine="8"/>
        <w:spacing w:after="0" w:line="244" w:lineRule="auto"/>
        <w:tabs>
          <w:tab w:leader="none" w:pos="648"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Participation</w:t>
      </w:r>
      <w:r>
        <w:rPr>
          <w:rFonts w:ascii="Arial" w:cs="Arial" w:eastAsia="Arial" w:hAnsi="Arial"/>
          <w:sz w:val="19"/>
          <w:szCs w:val="19"/>
          <w:color w:val="auto"/>
        </w:rPr>
        <w:t>. A Restricted Stock Unit Award under the Program shall be made only to Non-Employee Directors,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evidenced by a Notice of Award of Restricted Stock Units substantially in the form attached as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hereto and shall be further subject to such other terms and conditions set forth therein. As used in the Program, the term “</w:t>
      </w:r>
      <w:r>
        <w:rPr>
          <w:rFonts w:ascii="Arial" w:cs="Arial" w:eastAsia="Arial" w:hAnsi="Arial"/>
          <w:sz w:val="19"/>
          <w:szCs w:val="19"/>
          <w:b w:val="1"/>
          <w:bCs w:val="1"/>
          <w:color w:val="auto"/>
        </w:rPr>
        <w:t>Restricted Stock Unit</w:t>
      </w:r>
      <w:r>
        <w:rPr>
          <w:rFonts w:ascii="Arial" w:cs="Arial" w:eastAsia="Arial" w:hAnsi="Arial"/>
          <w:sz w:val="19"/>
          <w:szCs w:val="19"/>
          <w:color w:val="auto"/>
        </w:rPr>
        <w:t>” shall mean a non-voting unit of measurement which is deemed for bookkeeping purposes to be equivalent to one outstanding share of Common Stock (subject to adjustment as provided in Section 9 of the Plan) solely for purposes of the Program. Restricted Stock Units shall be used solely as a device for the determination of the number of shares of Common Stock to eventually be delivered to a Non-Employee Director if Restricted Stock Units held by such Non-Employee Director vest pursuant to Section 7 or Section 9. Restricted Stock Units shall not be treated as property or as a trust fund of any kind. Restricted Stock Units granted to a Non-Employee Director pursuant to the Program shall be credited to an unfunded bookkeeping account maintained by the Company on behalf of the Non-Employee Director (a “</w:t>
      </w:r>
      <w:r>
        <w:rPr>
          <w:rFonts w:ascii="Arial" w:cs="Arial" w:eastAsia="Arial" w:hAnsi="Arial"/>
          <w:sz w:val="19"/>
          <w:szCs w:val="19"/>
          <w:b w:val="1"/>
          <w:bCs w:val="1"/>
          <w:color w:val="auto"/>
        </w:rPr>
        <w:t>Program Account</w:t>
      </w:r>
      <w:r>
        <w:rPr>
          <w:rFonts w:ascii="Arial" w:cs="Arial" w:eastAsia="Arial" w:hAnsi="Arial"/>
          <w:sz w:val="19"/>
          <w:szCs w:val="19"/>
          <w:color w:val="auto"/>
        </w:rPr>
        <w:t>”).</w:t>
      </w:r>
    </w:p>
    <w:p>
      <w:pPr>
        <w:spacing w:after="0" w:line="161" w:lineRule="exact"/>
        <w:rPr>
          <w:sz w:val="20"/>
          <w:szCs w:val="20"/>
          <w:color w:val="auto"/>
        </w:rPr>
      </w:pPr>
    </w:p>
    <w:p>
      <w:pPr>
        <w:jc w:val="both"/>
        <w:ind w:left="80"/>
        <w:spacing w:after="0" w:line="224" w:lineRule="auto"/>
        <w:rPr>
          <w:sz w:val="20"/>
          <w:szCs w:val="20"/>
          <w:color w:val="auto"/>
        </w:rPr>
      </w:pPr>
      <w:r>
        <w:rPr>
          <w:rFonts w:ascii="Arial" w:cs="Arial" w:eastAsia="Arial" w:hAnsi="Arial"/>
          <w:sz w:val="21"/>
          <w:szCs w:val="21"/>
          <w:color w:val="auto"/>
        </w:rPr>
        <w:t>Notwithstanding anything to the contrary herein, any Non-Employee Director who serves as a member of the Board pursuant to a contractual right of an investor of the Company (an “</w:t>
      </w:r>
      <w:r>
        <w:rPr>
          <w:rFonts w:ascii="Arial" w:cs="Arial" w:eastAsia="Arial" w:hAnsi="Arial"/>
          <w:sz w:val="21"/>
          <w:szCs w:val="21"/>
          <w:b w:val="1"/>
          <w:bCs w:val="1"/>
          <w:color w:val="auto"/>
        </w:rPr>
        <w:t>Investor Designated Director</w:t>
      </w:r>
      <w:r>
        <w:rPr>
          <w:rFonts w:ascii="Arial" w:cs="Arial" w:eastAsia="Arial" w:hAnsi="Arial"/>
          <w:sz w:val="21"/>
          <w:szCs w:val="21"/>
          <w:color w:val="auto"/>
        </w:rPr>
        <w:t xml:space="preserve">”) shall receive his or her award in the form of a Cash Award in lieu of a Restricted Stock Unit Award, as evidenced by a Notice of Cash Award substantially in the form attached as Exhibit 2 </w:t>
      </w:r>
      <w:r>
        <w:rPr>
          <w:rFonts w:ascii="Arial" w:cs="Arial" w:eastAsia="Arial" w:hAnsi="Arial"/>
          <w:sz w:val="21"/>
          <w:szCs w:val="21"/>
          <w:u w:val="single" w:color="auto"/>
          <w:color w:val="auto"/>
        </w:rPr>
        <w:t>hereto</w:t>
      </w:r>
      <w:r>
        <w:rPr>
          <w:rFonts w:ascii="Arial" w:cs="Arial" w:eastAsia="Arial" w:hAnsi="Arial"/>
          <w:sz w:val="21"/>
          <w:szCs w:val="21"/>
          <w:color w:val="auto"/>
        </w:rPr>
        <w:t>. As used in the Program, the term “Cash Award” shall mean an award of cash that is granted under the Plan. A Cash Award under the Program shall be made only to Investor Designated Directors and shall be further subject to such other terms and conditions set forth therein.</w:t>
      </w:r>
    </w:p>
    <w:p>
      <w:pPr>
        <w:spacing w:after="0" w:line="154"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Annual Restricted Stock Unit Awards</w:t>
      </w:r>
      <w:r>
        <w:rPr>
          <w:rFonts w:ascii="Arial" w:cs="Arial" w:eastAsia="Arial" w:hAnsi="Arial"/>
          <w:sz w:val="22"/>
          <w:szCs w:val="22"/>
          <w:color w:val="auto"/>
        </w:rPr>
        <w:t>.</w:t>
      </w:r>
    </w:p>
    <w:p>
      <w:pPr>
        <w:spacing w:after="0" w:line="179" w:lineRule="exact"/>
        <w:rPr>
          <w:rFonts w:ascii="Arial" w:cs="Arial" w:eastAsia="Arial" w:hAnsi="Arial"/>
          <w:sz w:val="22"/>
          <w:szCs w:val="22"/>
          <w:b w:val="1"/>
          <w:bCs w:val="1"/>
          <w:color w:val="auto"/>
        </w:rPr>
      </w:pPr>
    </w:p>
    <w:p>
      <w:pPr>
        <w:ind w:left="660"/>
        <w:spacing w:after="0" w:line="235"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4.1 </w:t>
      </w:r>
      <w:r>
        <w:rPr>
          <w:rFonts w:ascii="Arial" w:cs="Arial" w:eastAsia="Arial" w:hAnsi="Arial"/>
          <w:sz w:val="22"/>
          <w:szCs w:val="22"/>
          <w:b w:val="1"/>
          <w:bCs w:val="1"/>
          <w:i w:val="1"/>
          <w:iCs w:val="1"/>
          <w:color w:val="auto"/>
        </w:rPr>
        <w:t>Annual Awards</w:t>
      </w:r>
      <w:r>
        <w:rPr>
          <w:rFonts w:ascii="Arial" w:cs="Arial" w:eastAsia="Arial" w:hAnsi="Arial"/>
          <w:sz w:val="22"/>
          <w:szCs w:val="22"/>
          <w:color w:val="auto"/>
        </w:rPr>
        <w:t>. On the date of and immediately following the Company’s regular annual meeting of stockholders</w:t>
      </w:r>
      <w:r>
        <w:rPr>
          <w:rFonts w:ascii="Arial" w:cs="Arial" w:eastAsia="Arial" w:hAnsi="Arial"/>
          <w:sz w:val="22"/>
          <w:szCs w:val="22"/>
          <w:b w:val="1"/>
          <w:bCs w:val="1"/>
          <w:color w:val="auto"/>
        </w:rPr>
        <w:t xml:space="preserve"> </w:t>
      </w:r>
      <w:r>
        <w:rPr>
          <w:rFonts w:ascii="Arial" w:cs="Arial" w:eastAsia="Arial" w:hAnsi="Arial"/>
          <w:sz w:val="22"/>
          <w:szCs w:val="22"/>
          <w:color w:val="auto"/>
        </w:rPr>
        <w:t>in each year during the term of the Plan</w:t>
      </w:r>
    </w:p>
    <w:p>
      <w:pPr>
        <w:sectPr>
          <w:pgSz w:w="11900" w:h="16838" w:orient="portrait"/>
          <w:cols w:equalWidth="0" w:num="1">
            <w:col w:w="11240"/>
          </w:cols>
          <w:pgMar w:left="320" w:top="1382" w:right="339" w:bottom="1440" w:gutter="0" w:footer="0" w:header="0"/>
        </w:sectPr>
      </w:pPr>
    </w:p>
    <w:bookmarkStart w:id="128" w:name="page129"/>
    <w:bookmarkEnd w:id="128"/>
    <w:p>
      <w:pPr>
        <w:jc w:val="both"/>
        <w:ind w:left="660"/>
        <w:spacing w:after="0" w:line="221" w:lineRule="auto"/>
        <w:rPr>
          <w:sz w:val="20"/>
          <w:szCs w:val="20"/>
          <w:color w:val="auto"/>
        </w:rPr>
      </w:pPr>
      <w:r>
        <w:rPr>
          <w:rFonts w:ascii="Arial" w:cs="Arial" w:eastAsia="Arial" w:hAnsi="Arial"/>
          <w:sz w:val="21"/>
          <w:szCs w:val="21"/>
          <w:color w:val="auto"/>
        </w:rPr>
        <w:t>commencing with 2021, each Non-Employee Director who is not an Investor Designated Director then in office shall be granted automatically (without any action by the Board or the Administrator) a Restricted Stock Unit Award with respect to a number (rounded down to the nearest whole number) of Restricted Stock Units equal to (i) $240,000 ($290,000 in the case of a Non-Employee Director then serving as Chair of the Board and $280,000 in the case of a Non-Employee Director then serving as Lead Independent Director), divided by (ii) the Fair Market Value of a share of Common Stock on the applicable annual meeting date (subject to adjustment as provided in Section 9 of the Plan). An individual who was previously a member of the Board, who then ceased to be a member of the Board for any reason, and who then again becomes a Non-Employee Director shall thereupon again become eligible to be granted Restricted Stock Units under this Section 4.1.</w:t>
      </w:r>
    </w:p>
    <w:p>
      <w:pPr>
        <w:spacing w:after="0" w:line="153" w:lineRule="exact"/>
        <w:rPr>
          <w:sz w:val="20"/>
          <w:szCs w:val="20"/>
          <w:color w:val="auto"/>
        </w:rPr>
      </w:pPr>
    </w:p>
    <w:p>
      <w:pPr>
        <w:jc w:val="both"/>
        <w:ind w:left="660"/>
        <w:spacing w:after="0" w:line="242"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i w:val="1"/>
          <w:iCs w:val="1"/>
          <w:color w:val="auto"/>
        </w:rPr>
        <w:t>Initial Award for New Directors</w:t>
      </w:r>
      <w:r>
        <w:rPr>
          <w:rFonts w:ascii="Arial" w:cs="Arial" w:eastAsia="Arial" w:hAnsi="Arial"/>
          <w:sz w:val="19"/>
          <w:szCs w:val="19"/>
          <w:color w:val="auto"/>
        </w:rPr>
        <w:t>. Upon first being appointed or elected to the Board, a Non-Employee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who is not an Investor Designated Director and who has not previously served on the Board shall be granted automatically (without any action by the Board or the Administrator) a Restricted Stock Unit Award with respect to a number of Restricted Stock Units equal to (i) the number of Restricted Stock Units in the annual Restricted Stock Unit Award immediately preceding the date such Non-Employee Director is first appointed or elected to the Board, divided by</w:t>
      </w:r>
    </w:p>
    <w:p>
      <w:pPr>
        <w:spacing w:after="0" w:line="2" w:lineRule="exact"/>
        <w:rPr>
          <w:sz w:val="20"/>
          <w:szCs w:val="20"/>
          <w:color w:val="auto"/>
        </w:rPr>
      </w:pPr>
    </w:p>
    <w:p>
      <w:pPr>
        <w:ind w:left="660" w:hanging="4"/>
        <w:spacing w:after="0" w:line="224" w:lineRule="auto"/>
        <w:tabs>
          <w:tab w:leader="none" w:pos="985" w:val="left"/>
        </w:tabs>
        <w:numPr>
          <w:ilvl w:val="0"/>
          <w:numId w:val="40"/>
        </w:numPr>
        <w:rPr>
          <w:rFonts w:ascii="Arial" w:cs="Arial" w:eastAsia="Arial" w:hAnsi="Arial"/>
          <w:sz w:val="22"/>
          <w:szCs w:val="22"/>
          <w:color w:val="auto"/>
        </w:rPr>
      </w:pPr>
      <w:r>
        <w:rPr>
          <w:rFonts w:ascii="Arial" w:cs="Arial" w:eastAsia="Arial" w:hAnsi="Arial"/>
          <w:sz w:val="22"/>
          <w:szCs w:val="22"/>
          <w:color w:val="auto"/>
        </w:rPr>
        <w:t>365, multiplied by (iii) the number of days from the date such Non-Employee Director is first appointed or elected to the Board to the scheduled date of the Company’s next annual meeting of stockholders.</w:t>
      </w:r>
    </w:p>
    <w:p>
      <w:pPr>
        <w:spacing w:after="0" w:line="152"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i w:val="1"/>
          <w:iCs w:val="1"/>
          <w:color w:val="auto"/>
        </w:rPr>
        <w:t>Transfer Restrictions</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granted pursuant to this Section 4 shall be non-transferable and shall</w:t>
      </w:r>
      <w:r>
        <w:rPr>
          <w:rFonts w:ascii="Arial" w:cs="Arial" w:eastAsia="Arial" w:hAnsi="Arial"/>
          <w:sz w:val="19"/>
          <w:szCs w:val="19"/>
          <w:b w:val="1"/>
          <w:bCs w:val="1"/>
          <w:color w:val="auto"/>
        </w:rPr>
        <w:t xml:space="preserve"> </w:t>
      </w:r>
      <w:r>
        <w:rPr>
          <w:rFonts w:ascii="Arial" w:cs="Arial" w:eastAsia="Arial" w:hAnsi="Arial"/>
          <w:sz w:val="19"/>
          <w:szCs w:val="19"/>
          <w:color w:val="auto"/>
        </w:rPr>
        <w:t>not be subject in any manner to sale, transfer, anticipation, alienation, assignment, pledge, encumbrance or charge and any shares of Common Stock issuable pursuant to the Restricted Stock Units shall be delivered only to (or for the account of) the Non-Employee Director to whom such Restricted Stock Units were granted.</w:t>
      </w:r>
    </w:p>
    <w:p>
      <w:pPr>
        <w:spacing w:after="0" w:line="13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Annual Cash Awards</w:t>
      </w:r>
      <w:r>
        <w:rPr>
          <w:rFonts w:ascii="Arial" w:cs="Arial" w:eastAsia="Arial" w:hAnsi="Arial"/>
          <w:sz w:val="22"/>
          <w:szCs w:val="22"/>
          <w:color w:val="auto"/>
        </w:rPr>
        <w:t>.</w:t>
      </w:r>
    </w:p>
    <w:p>
      <w:pPr>
        <w:spacing w:after="0" w:line="179" w:lineRule="exact"/>
        <w:rPr>
          <w:rFonts w:ascii="Arial" w:cs="Arial" w:eastAsia="Arial" w:hAnsi="Arial"/>
          <w:sz w:val="22"/>
          <w:szCs w:val="22"/>
          <w:b w:val="1"/>
          <w:bCs w:val="1"/>
          <w:color w:val="auto"/>
        </w:rPr>
      </w:pPr>
    </w:p>
    <w:p>
      <w:pPr>
        <w:jc w:val="both"/>
        <w:ind w:left="660"/>
        <w:spacing w:after="0" w:line="212"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5.1 </w:t>
      </w:r>
      <w:r>
        <w:rPr>
          <w:rFonts w:ascii="Arial" w:cs="Arial" w:eastAsia="Arial" w:hAnsi="Arial"/>
          <w:sz w:val="22"/>
          <w:szCs w:val="22"/>
          <w:b w:val="1"/>
          <w:bCs w:val="1"/>
          <w:i w:val="1"/>
          <w:iCs w:val="1"/>
          <w:color w:val="auto"/>
        </w:rPr>
        <w:t>Annual Awards</w:t>
      </w:r>
      <w:r>
        <w:rPr>
          <w:rFonts w:ascii="Arial" w:cs="Arial" w:eastAsia="Arial" w:hAnsi="Arial"/>
          <w:sz w:val="22"/>
          <w:szCs w:val="22"/>
          <w:color w:val="auto"/>
        </w:rPr>
        <w:t>. On the date of and immediately following the Company’s regular annual meeting of</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stockholders in each year during the term of the Plan commencing with 2023, each Investor Designated Director then in office shall be granted automatically (without any action by the Board or the Administrator) a Cash Award with a value equal to $240,000 ($290,000 in the case of an Investor Designated Director then serving as Chair of the Board and $280,000 in the case of an Investor Designated Director then serving as Lead Independent Director). An individual who was previously a member of the Board, who then ceased to be a member of the Board for any reason, and who then again becomes an Investor Designated Director shall thereupon again become eligible to be granted a Cash Award under this Section 5.1.</w:t>
      </w:r>
    </w:p>
    <w:p>
      <w:pPr>
        <w:spacing w:after="0" w:line="156" w:lineRule="exact"/>
        <w:rPr>
          <w:rFonts w:ascii="Arial" w:cs="Arial" w:eastAsia="Arial" w:hAnsi="Arial"/>
          <w:sz w:val="22"/>
          <w:szCs w:val="22"/>
          <w:b w:val="1"/>
          <w:bCs w:val="1"/>
          <w:color w:val="auto"/>
        </w:rPr>
      </w:pPr>
    </w:p>
    <w:p>
      <w:pPr>
        <w:jc w:val="both"/>
        <w:ind w:left="660"/>
        <w:spacing w:after="0" w:line="213"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5.2 </w:t>
      </w:r>
      <w:r>
        <w:rPr>
          <w:rFonts w:ascii="Arial" w:cs="Arial" w:eastAsia="Arial" w:hAnsi="Arial"/>
          <w:sz w:val="22"/>
          <w:szCs w:val="22"/>
          <w:b w:val="1"/>
          <w:bCs w:val="1"/>
          <w:i w:val="1"/>
          <w:iCs w:val="1"/>
          <w:color w:val="auto"/>
        </w:rPr>
        <w:t>Initial Award for New Directors</w:t>
      </w:r>
      <w:r>
        <w:rPr>
          <w:rFonts w:ascii="Arial" w:cs="Arial" w:eastAsia="Arial" w:hAnsi="Arial"/>
          <w:sz w:val="22"/>
          <w:szCs w:val="22"/>
          <w:color w:val="auto"/>
        </w:rPr>
        <w:t>. Upon first being appointed or elected to the Board, an Investor Designated</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 who has not previously served on the Board shall be granted automatically (without any action by the Board or the Administrator) a Cash Award in an amount equal to (i) $240,000 ($290,000 in the case of an Investor Designated Director then serving as Chair of the Board and $280,000 in the case of an Investor Designated Director then serving as Lead Independent Director) divided by (ii) 365, multiplied by (iii) the number of days from the date such Investor Designated Director is first appointed or elected to the Board to the scheduled date of the Company’s next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29" w:name="page130"/>
    <w:bookmarkEnd w:id="129"/>
    <w:p>
      <w:pPr>
        <w:jc w:val="both"/>
        <w:ind w:left="660"/>
        <w:spacing w:after="0" w:line="220"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b w:val="1"/>
          <w:bCs w:val="1"/>
          <w:i w:val="1"/>
          <w:iCs w:val="1"/>
          <w:color w:val="auto"/>
        </w:rPr>
        <w:t>Transfer Restrictions</w:t>
      </w:r>
      <w:r>
        <w:rPr>
          <w:rFonts w:ascii="Arial" w:cs="Arial" w:eastAsia="Arial" w:hAnsi="Arial"/>
          <w:sz w:val="22"/>
          <w:szCs w:val="22"/>
          <w:b w:val="1"/>
          <w:bCs w:val="1"/>
          <w:color w:val="auto"/>
        </w:rPr>
        <w:t xml:space="preserve">. </w:t>
      </w:r>
      <w:r>
        <w:rPr>
          <w:rFonts w:ascii="Arial" w:cs="Arial" w:eastAsia="Arial" w:hAnsi="Arial"/>
          <w:sz w:val="22"/>
          <w:szCs w:val="22"/>
          <w:color w:val="auto"/>
        </w:rPr>
        <w:t>Cash Awards granted pursuant to this Section 5 shall be non-transferable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in any manner to sale, transfer, anticipation, alienation, assignment, pledge, encumbrance or charge and any cash payable pursuant to the Cash Award shall be delivered only to the Investor Designated Director to whom such Cash Award was granted, or his or her designee, if applicable.</w:t>
      </w:r>
    </w:p>
    <w:p>
      <w:pPr>
        <w:spacing w:after="0" w:line="15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and Voting Rights</w:t>
      </w:r>
      <w:r>
        <w:rPr>
          <w:rFonts w:ascii="Arial" w:cs="Arial" w:eastAsia="Arial" w:hAnsi="Arial"/>
          <w:sz w:val="22"/>
          <w:szCs w:val="22"/>
          <w:color w:val="auto"/>
        </w:rPr>
        <w:t>.</w:t>
      </w:r>
    </w:p>
    <w:p>
      <w:pPr>
        <w:spacing w:after="0" w:line="179" w:lineRule="exact"/>
        <w:rPr>
          <w:rFonts w:ascii="Arial" w:cs="Arial" w:eastAsia="Arial" w:hAnsi="Arial"/>
          <w:sz w:val="22"/>
          <w:szCs w:val="22"/>
          <w:b w:val="1"/>
          <w:bCs w:val="1"/>
          <w:color w:val="auto"/>
        </w:rPr>
      </w:pPr>
    </w:p>
    <w:p>
      <w:pPr>
        <w:jc w:val="both"/>
        <w:ind w:left="660"/>
        <w:spacing w:after="0" w:line="250"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6.1 </w:t>
      </w:r>
      <w:r>
        <w:rPr>
          <w:rFonts w:ascii="Arial" w:cs="Arial" w:eastAsia="Arial" w:hAnsi="Arial"/>
          <w:sz w:val="19"/>
          <w:szCs w:val="19"/>
          <w:b w:val="1"/>
          <w:bCs w:val="1"/>
          <w:i w:val="1"/>
          <w:iCs w:val="1"/>
          <w:color w:val="auto"/>
        </w:rPr>
        <w:t>Limitation of Rights Associated with Restricted Stock Units</w:t>
      </w:r>
      <w:r>
        <w:rPr>
          <w:rFonts w:ascii="Arial" w:cs="Arial" w:eastAsia="Arial" w:hAnsi="Arial"/>
          <w:sz w:val="19"/>
          <w:szCs w:val="19"/>
          <w:color w:val="auto"/>
        </w:rPr>
        <w:t>. A Non-Employee Director shall have no rights as a</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 of the Company, no dividend rights (except as expressly provided in Section 6.2 with respect to dividend equivalent rights) and no voting rights, with respect to Restricted Stock Units granted pursuant to the Program and any shares of Common Stock underlying or issuable in respect of such Restricted Stock Units until such shares of Common Stock are actually issued to and held of record by the Non-Employee Director. No adjustments will be made for dividends or other rights of a holder for which the record date is prior to the date of issuance of the stock certificate.</w:t>
      </w:r>
    </w:p>
    <w:p>
      <w:pPr>
        <w:spacing w:after="0" w:line="146" w:lineRule="exact"/>
        <w:rPr>
          <w:rFonts w:ascii="Arial" w:cs="Arial" w:eastAsia="Arial" w:hAnsi="Arial"/>
          <w:sz w:val="22"/>
          <w:szCs w:val="22"/>
          <w:b w:val="1"/>
          <w:bCs w:val="1"/>
          <w:color w:val="auto"/>
        </w:rPr>
      </w:pPr>
    </w:p>
    <w:p>
      <w:pPr>
        <w:jc w:val="both"/>
        <w:ind w:left="660"/>
        <w:spacing w:after="0" w:line="241"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6.2 </w:t>
      </w:r>
      <w:r>
        <w:rPr>
          <w:rFonts w:ascii="Arial" w:cs="Arial" w:eastAsia="Arial" w:hAnsi="Arial"/>
          <w:sz w:val="19"/>
          <w:szCs w:val="19"/>
          <w:b w:val="1"/>
          <w:bCs w:val="1"/>
          <w:i w:val="1"/>
          <w:iCs w:val="1"/>
          <w:color w:val="auto"/>
        </w:rPr>
        <w:t>Dividend Equivalent Rights</w:t>
      </w:r>
      <w:r>
        <w:rPr>
          <w:rFonts w:ascii="Arial" w:cs="Arial" w:eastAsia="Arial" w:hAnsi="Arial"/>
          <w:sz w:val="19"/>
          <w:szCs w:val="19"/>
          <w:color w:val="auto"/>
        </w:rPr>
        <w:t>. As of any date that the Company pays a dividend (other than in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upon issued and outstanding Common Stock, or makes a distribution (other than in shares of Common Stock) with respect thereto, a Non-Employee Director’s Program Account shall be credited with an additional number (rounded down to the nearest whole number) of Restricted Stock Units equal to (i) the “fair value” of any dividend (or other distribution) with respect to one share of Common Stock, multiplied by (ii) the number of unpaid Restricted Stock Units credited to the Non-Employee Director’s Program Account immediately prior to such dividend or distribution, divided by (iii) the Fair Market Value of a share of Common Stock on the date of payment of such dividend or distribution. In the case of a cash dividend or distribution, the “fair value” thereof shall be the amount of such cash, and, in the case of any other dividend or distribution (other than in shares of Common Stock), the “fair value” thereof shall be such amount as shall be determined in good faith by the Administrator. Restricted Stock Units credited pursuant to the foregoing provisions of this Section 6.2 shall be subject to the same vesting, payment and other terms, conditions and restrictions as the original Restricted Stock Units to which they relate. No adjustment shall be made pursuant to Section 9 of the Plan as to Restricted Stock Units granted pursuant to the Program in connection with any dividend (other than in shares of Common Stock) or distribution (other than in shares of Common Stock) for which dividend equivalents are credited pursuant to the foregoing provisions of this Section 6.2. Restricted Stock Units granted pursuant to the Program shall otherwise be subject to adjustment pursuant to Section 9 of the Plan (for example, and without limitation, in connection with a split or reverse split of the outstanding Common Stock).</w:t>
      </w:r>
    </w:p>
    <w:p>
      <w:pPr>
        <w:spacing w:after="0" w:line="377" w:lineRule="exact"/>
        <w:rPr>
          <w:rFonts w:ascii="Arial" w:cs="Arial" w:eastAsia="Arial" w:hAnsi="Arial"/>
          <w:sz w:val="22"/>
          <w:szCs w:val="22"/>
          <w:b w:val="1"/>
          <w:bCs w:val="1"/>
          <w:color w:val="auto"/>
        </w:rPr>
      </w:pPr>
    </w:p>
    <w:p>
      <w:pPr>
        <w:jc w:val="both"/>
        <w:ind w:firstLine="8"/>
        <w:spacing w:after="0" w:line="227" w:lineRule="auto"/>
        <w:tabs>
          <w:tab w:leader="none" w:pos="648"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Vesting</w:t>
      </w:r>
      <w:r>
        <w:rPr>
          <w:rFonts w:ascii="Arial" w:cs="Arial" w:eastAsia="Arial" w:hAnsi="Arial"/>
          <w:sz w:val="21"/>
          <w:szCs w:val="21"/>
          <w:color w:val="auto"/>
        </w:rPr>
        <w:t>. Subject to Section 9 hereof and Section 9 of the Plan, a Restricted Stock Unit Award or Cash Award granted to a</w:t>
      </w:r>
      <w:r>
        <w:rPr>
          <w:rFonts w:ascii="Arial" w:cs="Arial" w:eastAsia="Arial" w:hAnsi="Arial"/>
          <w:sz w:val="21"/>
          <w:szCs w:val="21"/>
          <w:b w:val="1"/>
          <w:bCs w:val="1"/>
          <w:color w:val="auto"/>
        </w:rPr>
        <w:t xml:space="preserve"> </w:t>
      </w:r>
      <w:r>
        <w:rPr>
          <w:rFonts w:ascii="Arial" w:cs="Arial" w:eastAsia="Arial" w:hAnsi="Arial"/>
          <w:sz w:val="21"/>
          <w:szCs w:val="21"/>
          <w:color w:val="auto"/>
        </w:rPr>
        <w:t>Non-Employee Director pursuant to the Program (whether pursuant to Section 4, Section 5 or Section 6.2) (an “</w:t>
      </w:r>
      <w:r>
        <w:rPr>
          <w:rFonts w:ascii="Arial" w:cs="Arial" w:eastAsia="Arial" w:hAnsi="Arial"/>
          <w:sz w:val="21"/>
          <w:szCs w:val="21"/>
          <w:b w:val="1"/>
          <w:bCs w:val="1"/>
          <w:color w:val="auto"/>
        </w:rPr>
        <w:t>Award</w:t>
      </w:r>
      <w:r>
        <w:rPr>
          <w:rFonts w:ascii="Arial" w:cs="Arial" w:eastAsia="Arial" w:hAnsi="Arial"/>
          <w:sz w:val="21"/>
          <w:szCs w:val="21"/>
          <w:color w:val="auto"/>
        </w:rPr>
        <w:t>”) shall vest and become payable as to 100% of the total number of Restricted Stock Units or cash, as applicable, subject thereto on the first to occur of (i) the first anniversary of the date of grant of the Award or (ii) immediately prior to the Company’s first regular meeting of stockholders following the date of grant of the Award.</w:t>
      </w:r>
    </w:p>
    <w:p>
      <w:pPr>
        <w:spacing w:after="0" w:line="153" w:lineRule="exact"/>
        <w:rPr>
          <w:rFonts w:ascii="Arial" w:cs="Arial" w:eastAsia="Arial" w:hAnsi="Arial"/>
          <w:sz w:val="21"/>
          <w:szCs w:val="21"/>
          <w:b w:val="1"/>
          <w:bCs w:val="1"/>
          <w:color w:val="auto"/>
        </w:rPr>
      </w:pPr>
    </w:p>
    <w:p>
      <w:pPr>
        <w:jc w:val="both"/>
        <w:ind w:firstLine="8"/>
        <w:spacing w:after="0" w:line="230" w:lineRule="auto"/>
        <w:tabs>
          <w:tab w:leader="none" w:pos="648"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Continuation of Services</w:t>
      </w:r>
      <w:r>
        <w:rPr>
          <w:rFonts w:ascii="Arial" w:cs="Arial" w:eastAsia="Arial" w:hAnsi="Arial"/>
          <w:sz w:val="21"/>
          <w:szCs w:val="21"/>
          <w:color w:val="auto"/>
        </w:rPr>
        <w:t>. The vesting schedule requires continued service through each applicable vesting date as a</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to the vesting of the applicable installment of an Award and the rights and benefits under the Program. Service for only a portion of the vesting period, even if a substantial portion, will not entitle a Non-Employee Director to any proportionate vesting or avoid or mitigate a termination of rights and benefits upon or following a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5" w:right="339" w:bottom="1440" w:gutter="0" w:footer="0" w:header="0"/>
        </w:sectPr>
      </w:pPr>
    </w:p>
    <w:bookmarkStart w:id="130" w:name="page131"/>
    <w:bookmarkEnd w:id="130"/>
    <w:p>
      <w:pPr>
        <w:jc w:val="both"/>
        <w:spacing w:after="0" w:line="218" w:lineRule="auto"/>
        <w:rPr>
          <w:sz w:val="20"/>
          <w:szCs w:val="20"/>
          <w:color w:val="auto"/>
        </w:rPr>
      </w:pPr>
      <w:r>
        <w:rPr>
          <w:rFonts w:ascii="Arial" w:cs="Arial" w:eastAsia="Arial" w:hAnsi="Arial"/>
          <w:sz w:val="22"/>
          <w:szCs w:val="22"/>
          <w:color w:val="auto"/>
        </w:rPr>
        <w:t>of services as provided in Section 9 below. Nothing contained in the Program constitutes a continued service commitment by the Company, confers upon a Non-Employee Director any right to remain in service to the Company, interferes with the right of the Company at any time to terminate such service, or affects the right of the Company to increase or decrease a Non-Employee Director’s other compensation.</w:t>
      </w:r>
    </w:p>
    <w:p>
      <w:pPr>
        <w:spacing w:after="0" w:line="155" w:lineRule="exact"/>
        <w:rPr>
          <w:sz w:val="20"/>
          <w:szCs w:val="20"/>
          <w:color w:val="auto"/>
        </w:rPr>
      </w:pPr>
    </w:p>
    <w:p>
      <w:pPr>
        <w:jc w:val="both"/>
        <w:ind w:firstLine="8"/>
        <w:spacing w:after="0" w:line="225" w:lineRule="auto"/>
        <w:tabs>
          <w:tab w:leader="none" w:pos="648"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Directorship</w:t>
      </w:r>
      <w:r>
        <w:rPr>
          <w:rFonts w:ascii="Arial" w:cs="Arial" w:eastAsia="Arial" w:hAnsi="Arial"/>
          <w:sz w:val="22"/>
          <w:szCs w:val="22"/>
          <w:color w:val="auto"/>
        </w:rPr>
        <w:t>. Subject to earlier termination pursuant to Section 9 of the Plan, if a Non-Employee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 incurs a Separation from Service (as defined below) for any reason, the following rules shall apply with respect to any Award granted to the Non-Employee Director pursuant to Section 4 or 5 above:</w:t>
      </w:r>
    </w:p>
    <w:p>
      <w:pPr>
        <w:spacing w:after="0" w:line="158" w:lineRule="exact"/>
        <w:rPr>
          <w:rFonts w:ascii="Arial" w:cs="Arial" w:eastAsia="Arial" w:hAnsi="Arial"/>
          <w:sz w:val="22"/>
          <w:szCs w:val="22"/>
          <w:b w:val="1"/>
          <w:bCs w:val="1"/>
          <w:color w:val="auto"/>
        </w:rPr>
      </w:pPr>
    </w:p>
    <w:p>
      <w:pPr>
        <w:jc w:val="both"/>
        <w:ind w:left="1300" w:hanging="644"/>
        <w:spacing w:after="0" w:line="223" w:lineRule="auto"/>
        <w:tabs>
          <w:tab w:leader="none" w:pos="1295" w:val="left"/>
        </w:tabs>
        <w:numPr>
          <w:ilvl w:val="1"/>
          <w:numId w:val="43"/>
        </w:numPr>
        <w:rPr>
          <w:rFonts w:ascii="Arial" w:cs="Arial" w:eastAsia="Arial" w:hAnsi="Arial"/>
          <w:sz w:val="22"/>
          <w:szCs w:val="22"/>
          <w:color w:val="auto"/>
        </w:rPr>
      </w:pPr>
      <w:r>
        <w:rPr>
          <w:rFonts w:ascii="Arial" w:cs="Arial" w:eastAsia="Arial" w:hAnsi="Arial"/>
          <w:sz w:val="22"/>
          <w:szCs w:val="22"/>
          <w:color w:val="auto"/>
        </w:rPr>
        <w:t>other than as expressly provided below in this Section 9, all Awards granted to the Non-Employee Director pursuant to the Program that have not vested as of the Non-Employee Director’s Separation from Service, shall immediately terminate without payment therefor;</w:t>
      </w:r>
    </w:p>
    <w:p>
      <w:pPr>
        <w:spacing w:after="0" w:line="158" w:lineRule="exact"/>
        <w:rPr>
          <w:rFonts w:ascii="Arial" w:cs="Arial" w:eastAsia="Arial" w:hAnsi="Arial"/>
          <w:sz w:val="22"/>
          <w:szCs w:val="22"/>
          <w:color w:val="auto"/>
        </w:rPr>
      </w:pPr>
    </w:p>
    <w:p>
      <w:pPr>
        <w:jc w:val="both"/>
        <w:ind w:left="1300" w:hanging="644"/>
        <w:spacing w:after="0" w:line="223" w:lineRule="auto"/>
        <w:tabs>
          <w:tab w:leader="none" w:pos="1295" w:val="left"/>
        </w:tabs>
        <w:numPr>
          <w:ilvl w:val="1"/>
          <w:numId w:val="43"/>
        </w:numPr>
        <w:rPr>
          <w:rFonts w:ascii="Arial" w:cs="Arial" w:eastAsia="Arial" w:hAnsi="Arial"/>
          <w:sz w:val="22"/>
          <w:szCs w:val="22"/>
          <w:color w:val="auto"/>
        </w:rPr>
      </w:pPr>
      <w:r>
        <w:rPr>
          <w:rFonts w:ascii="Arial" w:cs="Arial" w:eastAsia="Arial" w:hAnsi="Arial"/>
          <w:sz w:val="22"/>
          <w:szCs w:val="22"/>
          <w:color w:val="auto"/>
        </w:rPr>
        <w:t>if the Non-Employee Director’s Separation from Service occurs due to his or her death or Disability (as defined below), all Awards granted to the Non-Employee Director pursuant to the Program shall immediately vest and become payable as provided in Section 10 below; and</w:t>
      </w:r>
    </w:p>
    <w:p>
      <w:pPr>
        <w:spacing w:after="0" w:line="158" w:lineRule="exact"/>
        <w:rPr>
          <w:rFonts w:ascii="Arial" w:cs="Arial" w:eastAsia="Arial" w:hAnsi="Arial"/>
          <w:sz w:val="22"/>
          <w:szCs w:val="22"/>
          <w:color w:val="auto"/>
        </w:rPr>
      </w:pPr>
    </w:p>
    <w:p>
      <w:pPr>
        <w:jc w:val="both"/>
        <w:ind w:left="1300" w:hanging="644"/>
        <w:spacing w:after="0" w:line="223" w:lineRule="auto"/>
        <w:tabs>
          <w:tab w:leader="none" w:pos="1295" w:val="left"/>
        </w:tabs>
        <w:numPr>
          <w:ilvl w:val="1"/>
          <w:numId w:val="43"/>
        </w:numPr>
        <w:rPr>
          <w:rFonts w:ascii="Arial" w:cs="Arial" w:eastAsia="Arial" w:hAnsi="Arial"/>
          <w:sz w:val="22"/>
          <w:szCs w:val="22"/>
          <w:color w:val="auto"/>
        </w:rPr>
      </w:pPr>
      <w:r>
        <w:rPr>
          <w:rFonts w:ascii="Arial" w:cs="Arial" w:eastAsia="Arial" w:hAnsi="Arial"/>
          <w:sz w:val="22"/>
          <w:szCs w:val="22"/>
          <w:color w:val="auto"/>
        </w:rPr>
        <w:t>if the Non-Employee Director ceases to be a member of the Board due to his or her Removal (as defined below), all then-unvested Awards granted to the Non-Employee Director pursuant to the Program shall immediately terminate without payment therefor.</w:t>
      </w:r>
    </w:p>
    <w:p>
      <w:pPr>
        <w:spacing w:after="0" w:line="1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For purposes of this Section 9, the term “</w:t>
      </w:r>
      <w:r>
        <w:rPr>
          <w:rFonts w:ascii="Arial" w:cs="Arial" w:eastAsia="Arial" w:hAnsi="Arial"/>
          <w:sz w:val="19"/>
          <w:szCs w:val="19"/>
          <w:b w:val="1"/>
          <w:bCs w:val="1"/>
          <w:color w:val="auto"/>
        </w:rPr>
        <w:t>Disability</w:t>
      </w:r>
      <w:r>
        <w:rPr>
          <w:rFonts w:ascii="Arial" w:cs="Arial" w:eastAsia="Arial" w:hAnsi="Arial"/>
          <w:sz w:val="19"/>
          <w:szCs w:val="19"/>
          <w:color w:val="auto"/>
        </w:rPr>
        <w:t>” shall mean a period of disability during which a Non-Employee Director qualified for permanent disability benefits under the Company’s long-term disability plan, or, if the Non-Employee Director does not participate in such a plan, a period of disability during which the Non-Employee Director would have qualified for permanent disability benefits under such a plan had the Non-Employee Director been a participant in such a plan, as determined in the sole discretion of the Administrator. If the Company does not sponsor such a plan, or discontinues to sponsor such a plan, Disability shall be determined by the Administrator in its sole discretion. For purposes of this Section 9, the term “</w:t>
      </w:r>
      <w:r>
        <w:rPr>
          <w:rFonts w:ascii="Arial" w:cs="Arial" w:eastAsia="Arial" w:hAnsi="Arial"/>
          <w:sz w:val="19"/>
          <w:szCs w:val="19"/>
          <w:b w:val="1"/>
          <w:bCs w:val="1"/>
          <w:color w:val="auto"/>
        </w:rPr>
        <w:t>Removal</w:t>
      </w:r>
      <w:r>
        <w:rPr>
          <w:rFonts w:ascii="Arial" w:cs="Arial" w:eastAsia="Arial" w:hAnsi="Arial"/>
          <w:sz w:val="19"/>
          <w:szCs w:val="19"/>
          <w:color w:val="auto"/>
        </w:rPr>
        <w:t>” shall mean the removal of a Non-Employee Director from the Board, with or without cause, in accordance with the Company’s Certificate of Incorporation, Bylaws or the Delaware General Corporation Law. For purposes of this Section 9, the term “</w:t>
      </w:r>
      <w:r>
        <w:rPr>
          <w:rFonts w:ascii="Arial" w:cs="Arial" w:eastAsia="Arial" w:hAnsi="Arial"/>
          <w:sz w:val="19"/>
          <w:szCs w:val="19"/>
          <w:b w:val="1"/>
          <w:bCs w:val="1"/>
          <w:color w:val="auto"/>
        </w:rPr>
        <w:t>Separation from Service</w:t>
      </w:r>
      <w:r>
        <w:rPr>
          <w:rFonts w:ascii="Arial" w:cs="Arial" w:eastAsia="Arial" w:hAnsi="Arial"/>
          <w:sz w:val="19"/>
          <w:szCs w:val="19"/>
          <w:color w:val="auto"/>
        </w:rPr>
        <w:t>,” with respect to a Non-Employee Director, shall mean the date the Non-Employee Director ceases to be a member of the Board (regardless of the reason); provided, however, that if the Non-Employee Director is immediately thereafter employed by the Company or one of its Subsidiaries, such director’s Separation from Service shall be the date such director incurs a “separation from service” as such term is defined for purposes of Section 409A of the Code.</w:t>
      </w:r>
    </w:p>
    <w:p>
      <w:pPr>
        <w:spacing w:after="0" w:line="153" w:lineRule="exact"/>
        <w:rPr>
          <w:sz w:val="20"/>
          <w:szCs w:val="20"/>
          <w:color w:val="auto"/>
        </w:rPr>
      </w:pPr>
    </w:p>
    <w:p>
      <w:pPr>
        <w:jc w:val="both"/>
        <w:ind w:firstLine="8"/>
        <w:spacing w:after="0" w:line="221" w:lineRule="auto"/>
        <w:tabs>
          <w:tab w:leader="none" w:pos="648"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Timing and Manner of Payment of Awards</w:t>
      </w:r>
      <w:r>
        <w:rPr>
          <w:rFonts w:ascii="Arial" w:cs="Arial" w:eastAsia="Arial" w:hAnsi="Arial"/>
          <w:sz w:val="21"/>
          <w:szCs w:val="21"/>
          <w:color w:val="auto"/>
        </w:rPr>
        <w:t>. Except as provided in Section 11 below, on or within thirty (30)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days following the first to occur of (i) the first anniversary of the date of grant of the Award, or (ii) the Non-Employee Director’s Separation from Service, the Company shall deliver to the Non-Employee Director a number of shares of Common Stock (either by delivering one or more certificates for such shares or by entering such shares in book entry form, as determined by the Company in its sole discretion) equal to the number of Restricted Stock Units (if any), or an amount in cash, as applicable, that vested with respect to the corresponding Award in accordance with the provisions hereof, subject to adjustment as provided in Section 9 of the Plan; provided, however, that, to the extent permitted by the Company’s Amended and Restated Deferred Compensation Plan, as it may be amended from time to time (the “</w:t>
      </w:r>
      <w:r>
        <w:rPr>
          <w:rFonts w:ascii="Arial" w:cs="Arial" w:eastAsia="Arial" w:hAnsi="Arial"/>
          <w:sz w:val="21"/>
          <w:szCs w:val="21"/>
          <w:b w:val="1"/>
          <w:bCs w:val="1"/>
          <w:color w:val="auto"/>
        </w:rPr>
        <w:t>Deferred Compensation Plan</w:t>
      </w:r>
      <w:r>
        <w:rPr>
          <w:rFonts w:ascii="Arial" w:cs="Arial" w:eastAsia="Arial" w:hAnsi="Arial"/>
          <w:sz w:val="21"/>
          <w:szCs w:val="21"/>
          <w:color w:val="auto"/>
        </w:rPr>
        <w:t>”), a Non-Employee Director may elect to defer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31" w:name="page132"/>
    <w:bookmarkEnd w:id="131"/>
    <w:p>
      <w:pPr>
        <w:jc w:val="both"/>
        <w:spacing w:after="0" w:line="244" w:lineRule="auto"/>
        <w:rPr>
          <w:sz w:val="20"/>
          <w:szCs w:val="20"/>
          <w:color w:val="auto"/>
        </w:rPr>
      </w:pPr>
      <w:r>
        <w:rPr>
          <w:rFonts w:ascii="Arial" w:cs="Arial" w:eastAsia="Arial" w:hAnsi="Arial"/>
          <w:sz w:val="19"/>
          <w:szCs w:val="19"/>
          <w:color w:val="auto"/>
        </w:rPr>
        <w:t>receipt of any or all shares of Common Stock payable, or cash payable, as applicable, with respect to an Award that vests pursuant to the Program. Such elections shall be made, and any such deferral shall be effected and administered, in accordance with the Deferred Compensation Plan. The Company’s obligation to deliver shares of Common Stock or cash, as applicable, with respect to a vested Award is subject to the condition precedent that the Non-Employee Director (or other person entitled under the Plan to receive shares of Common Stock or cash, as applicable, with respect to the vested Award) deliver to the Company any representations or other documents or assurances the Company may require with respect to compliance with applicable laws. A Non-Employee Director shall have no further rights with respect to any Restricted Stock Units that are paid or that are terminated pursuant to Section 9 hereof or Section 9 of the Plan, and such Restricted Stock Units shall be removed from the Non-Employee Director’s Program Account upon the date of such payment or termination.</w:t>
      </w:r>
    </w:p>
    <w:p>
      <w:pPr>
        <w:spacing w:after="0" w:line="155" w:lineRule="exact"/>
        <w:rPr>
          <w:sz w:val="20"/>
          <w:szCs w:val="20"/>
          <w:color w:val="auto"/>
        </w:rPr>
      </w:pPr>
    </w:p>
    <w:p>
      <w:pPr>
        <w:jc w:val="both"/>
        <w:ind w:firstLine="8"/>
        <w:spacing w:after="0" w:line="248" w:lineRule="auto"/>
        <w:tabs>
          <w:tab w:leader="none" w:pos="636"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in Control Events</w:t>
      </w:r>
      <w:r>
        <w:rPr>
          <w:rFonts w:ascii="Arial" w:cs="Arial" w:eastAsia="Arial" w:hAnsi="Arial"/>
          <w:sz w:val="19"/>
          <w:szCs w:val="19"/>
          <w:color w:val="auto"/>
        </w:rPr>
        <w:t>. An Award may vest and become payable in connection with the occurrence of certain events</w:t>
      </w:r>
      <w:r>
        <w:rPr>
          <w:rFonts w:ascii="Arial" w:cs="Arial" w:eastAsia="Arial" w:hAnsi="Arial"/>
          <w:sz w:val="19"/>
          <w:szCs w:val="19"/>
          <w:b w:val="1"/>
          <w:bCs w:val="1"/>
          <w:color w:val="auto"/>
        </w:rPr>
        <w:t xml:space="preserve"> </w:t>
      </w:r>
      <w:r>
        <w:rPr>
          <w:rFonts w:ascii="Arial" w:cs="Arial" w:eastAsia="Arial" w:hAnsi="Arial"/>
          <w:sz w:val="19"/>
          <w:szCs w:val="19"/>
          <w:color w:val="auto"/>
        </w:rPr>
        <w:t>involving the Company as provided for in Section 9 of the Plan; provided, however, that, notwithstanding anything to the contrary in the Program or the Plan, if the event giving rise to such accelerated vesting is not also a “change in the ownership or effective control” of the Company or a “change in the ownership of a substantial portion of the assets” of the Company for purposes of Section 409A of the Code, or an acceleration of payment of the Award would otherwise result in any tax liability pursuant to Section 409A of the Code, then payment with respect to such vested Award shall not be made until such Award would have become vested and payable without regard to this Section 11 or Section 9 of the Plan.</w:t>
      </w:r>
    </w:p>
    <w:p>
      <w:pPr>
        <w:spacing w:after="0" w:line="147" w:lineRule="exact"/>
        <w:rPr>
          <w:rFonts w:ascii="Arial" w:cs="Arial" w:eastAsia="Arial" w:hAnsi="Arial"/>
          <w:sz w:val="19"/>
          <w:szCs w:val="19"/>
          <w:b w:val="1"/>
          <w:bCs w:val="1"/>
          <w:color w:val="auto"/>
        </w:rPr>
      </w:pPr>
    </w:p>
    <w:p>
      <w:pPr>
        <w:jc w:val="both"/>
        <w:ind w:firstLine="8"/>
        <w:spacing w:after="0" w:line="241" w:lineRule="auto"/>
        <w:tabs>
          <w:tab w:leader="none" w:pos="648"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Plan Provisions; Maximum Number of Shares; Amendment; Administration; Construction</w:t>
      </w:r>
      <w:r>
        <w:rPr>
          <w:rFonts w:ascii="Arial" w:cs="Arial" w:eastAsia="Arial" w:hAnsi="Arial"/>
          <w:sz w:val="19"/>
          <w:szCs w:val="19"/>
          <w:color w:val="auto"/>
        </w:rPr>
        <w:t>. Awards granted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Program shall otherwise be subject to the terms of the Plan (including, without limitation, the provisions of Section 9 of the Plan). If Restricted Stock Unit Awards otherwise required pursuant to the Program would otherwise exceed any applicable share limit under Section 3(a) of the Plan, such grants shall be made pro-rata to Non-Employee Directors entitled to such grants. The Board may from time to time amend the Program without stockholder approval; provided that no such amendment shall materially and adversely affect the rights of a Non-Employee Director as to an Award granted under the Program before the adoption of such amendment. The Board may amend, modify, suspend or terminate outstanding Awards; provided, however, that outstanding Awards shall not be amended, modified, suspended or terminated so as to impair any rights of the recipient of the Award without the consent of such recipient. If any such amendment or modification to an outstanding Award has the result of accelerating the vesting of such Award, then any election that had been made to defer receipt of payment with respect to all or any portion of the Award pursuant to the Deferred Compensation Plan shall be disregarded. The Program does not limit the Board’s authority to make other, discretionary grants of Awards to Non-Employee Directors pursuant to the Plan. The Administrator’s power and authority to construe and interpret the Plan and Awards thereunder pursuant to Section 2 of the Plan shall extend to the Program and Awards granted hereunder. As provided in Section 2(f) of the Plan, all determinations, interpretations and constructions made by the Administrator in good faith will not be subject to review by any person and will be final, binding and conclusive on all persons. It is intended that the terms of the Program and all Awards granted under the Program will not result in the imposition of any tax liability pursuant to Section 409A of the Code. The Program and all Awards granted hereunder shall be construed and interpreted consistent with that intent.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56"/>
        </w:trPr>
        <w:tc>
          <w:tcPr>
            <w:tcW w:w="7620" w:type="dxa"/>
            <w:vAlign w:val="bottom"/>
          </w:tcPr>
          <w:p>
            <w:pPr>
              <w:spacing w:after="0"/>
              <w:rPr>
                <w:sz w:val="22"/>
                <w:szCs w:val="22"/>
                <w:color w:val="auto"/>
              </w:rPr>
            </w:pPr>
          </w:p>
        </w:tc>
        <w:tc>
          <w:tcPr>
            <w:tcW w:w="3620" w:type="dxa"/>
            <w:vAlign w:val="bottom"/>
          </w:tcPr>
          <w:p>
            <w:pPr>
              <w:ind w:left="2740"/>
              <w:spacing w:after="0"/>
              <w:rPr>
                <w:sz w:val="20"/>
                <w:szCs w:val="20"/>
                <w:color w:val="auto"/>
              </w:rPr>
            </w:pPr>
            <w:r>
              <w:rPr>
                <w:rFonts w:ascii="Arial" w:cs="Arial" w:eastAsia="Arial" w:hAnsi="Arial"/>
                <w:sz w:val="20"/>
                <w:szCs w:val="20"/>
                <w:b w:val="1"/>
                <w:bCs w:val="1"/>
                <w:color w:val="auto"/>
                <w:w w:val="90"/>
              </w:rPr>
              <w:t>Exhibit 21</w:t>
            </w:r>
          </w:p>
        </w:tc>
      </w:tr>
      <w:tr>
        <w:trPr>
          <w:trHeight w:val="311"/>
        </w:trPr>
        <w:tc>
          <w:tcPr>
            <w:tcW w:w="7620" w:type="dxa"/>
            <w:vAlign w:val="bottom"/>
          </w:tcPr>
          <w:p>
            <w:pPr>
              <w:ind w:left="3920"/>
              <w:spacing w:after="0"/>
              <w:rPr>
                <w:sz w:val="20"/>
                <w:szCs w:val="20"/>
                <w:color w:val="auto"/>
              </w:rPr>
            </w:pPr>
            <w:r>
              <w:rPr>
                <w:rFonts w:ascii="Arial" w:cs="Arial" w:eastAsia="Arial" w:hAnsi="Arial"/>
                <w:sz w:val="20"/>
                <w:szCs w:val="20"/>
                <w:b w:val="1"/>
                <w:bCs w:val="1"/>
                <w:color w:val="auto"/>
              </w:rPr>
              <w:t>WESTERN DIGITAL CORPORATION</w:t>
            </w:r>
          </w:p>
        </w:tc>
        <w:tc>
          <w:tcPr>
            <w:tcW w:w="3620" w:type="dxa"/>
            <w:vAlign w:val="bottom"/>
          </w:tcPr>
          <w:p>
            <w:pPr>
              <w:spacing w:after="0"/>
              <w:rPr>
                <w:sz w:val="24"/>
                <w:szCs w:val="24"/>
                <w:color w:val="auto"/>
              </w:rPr>
            </w:pPr>
          </w:p>
        </w:tc>
      </w:tr>
      <w:tr>
        <w:trPr>
          <w:trHeight w:val="256"/>
        </w:trPr>
        <w:tc>
          <w:tcPr>
            <w:tcW w:w="7620" w:type="dxa"/>
            <w:vAlign w:val="bottom"/>
          </w:tcPr>
          <w:p>
            <w:pPr>
              <w:ind w:left="4000"/>
              <w:spacing w:after="0"/>
              <w:rPr>
                <w:sz w:val="20"/>
                <w:szCs w:val="20"/>
                <w:color w:val="auto"/>
              </w:rPr>
            </w:pPr>
            <w:r>
              <w:rPr>
                <w:rFonts w:ascii="Arial" w:cs="Arial" w:eastAsia="Arial" w:hAnsi="Arial"/>
                <w:sz w:val="20"/>
                <w:szCs w:val="20"/>
                <w:b w:val="1"/>
                <w:bCs w:val="1"/>
                <w:color w:val="auto"/>
              </w:rPr>
              <w:t>SUBSIDIARIES OF THE COMPANY</w:t>
            </w:r>
          </w:p>
        </w:tc>
        <w:tc>
          <w:tcPr>
            <w:tcW w:w="3620" w:type="dxa"/>
            <w:vAlign w:val="bottom"/>
          </w:tcPr>
          <w:p>
            <w:pPr>
              <w:spacing w:after="0"/>
              <w:rPr>
                <w:sz w:val="22"/>
                <w:szCs w:val="22"/>
                <w:color w:val="auto"/>
              </w:rPr>
            </w:pPr>
          </w:p>
        </w:tc>
      </w:tr>
      <w:tr>
        <w:trPr>
          <w:trHeight w:val="648"/>
        </w:trPr>
        <w:tc>
          <w:tcPr>
            <w:tcW w:w="7620" w:type="dxa"/>
            <w:vAlign w:val="bottom"/>
          </w:tcPr>
          <w:p>
            <w:pPr>
              <w:spacing w:after="0"/>
              <w:rPr>
                <w:sz w:val="24"/>
                <w:szCs w:val="24"/>
                <w:color w:val="auto"/>
              </w:rPr>
            </w:pPr>
          </w:p>
        </w:tc>
        <w:tc>
          <w:tcPr>
            <w:tcW w:w="3620" w:type="dxa"/>
            <w:vAlign w:val="bottom"/>
          </w:tcPr>
          <w:p>
            <w:pPr>
              <w:ind w:left="300"/>
              <w:spacing w:after="0"/>
              <w:rPr>
                <w:sz w:val="20"/>
                <w:szCs w:val="20"/>
                <w:color w:val="auto"/>
              </w:rPr>
            </w:pPr>
            <w:r>
              <w:rPr>
                <w:rFonts w:ascii="Arial" w:cs="Arial" w:eastAsia="Arial" w:hAnsi="Arial"/>
                <w:sz w:val="20"/>
                <w:szCs w:val="20"/>
                <w:b w:val="1"/>
                <w:bCs w:val="1"/>
                <w:color w:val="auto"/>
              </w:rPr>
              <w:t>State or Other Jurisdiction of</w:t>
            </w:r>
          </w:p>
        </w:tc>
      </w:tr>
      <w:tr>
        <w:trPr>
          <w:trHeight w:val="288"/>
        </w:trPr>
        <w:tc>
          <w:tcPr>
            <w:tcW w:w="762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Name of Entity</w:t>
            </w:r>
          </w:p>
        </w:tc>
        <w:tc>
          <w:tcPr>
            <w:tcW w:w="3620" w:type="dxa"/>
            <w:vAlign w:val="bottom"/>
            <w:tcBorders>
              <w:bottom w:val="single" w:sz="8" w:color="auto"/>
            </w:tcBorders>
          </w:tcPr>
          <w:p>
            <w:pPr>
              <w:ind w:left="300"/>
              <w:spacing w:after="0"/>
              <w:rPr>
                <w:sz w:val="20"/>
                <w:szCs w:val="20"/>
                <w:color w:val="auto"/>
              </w:rPr>
            </w:pPr>
            <w:r>
              <w:rPr>
                <w:rFonts w:ascii="Arial" w:cs="Arial" w:eastAsia="Arial" w:hAnsi="Arial"/>
                <w:sz w:val="20"/>
                <w:szCs w:val="20"/>
                <w:b w:val="1"/>
                <w:bCs w:val="1"/>
                <w:color w:val="auto"/>
              </w:rPr>
              <w:t>Incorporation or Organization</w:t>
            </w:r>
          </w:p>
        </w:tc>
      </w:tr>
      <w:tr>
        <w:trPr>
          <w:trHeight w:val="272"/>
        </w:trPr>
        <w:tc>
          <w:tcPr>
            <w:tcW w:w="7620" w:type="dxa"/>
            <w:vAlign w:val="bottom"/>
          </w:tcPr>
          <w:p>
            <w:pPr>
              <w:ind w:left="80"/>
              <w:spacing w:after="0"/>
              <w:rPr>
                <w:sz w:val="20"/>
                <w:szCs w:val="20"/>
                <w:color w:val="auto"/>
              </w:rPr>
            </w:pPr>
            <w:r>
              <w:rPr>
                <w:rFonts w:ascii="Arial" w:cs="Arial" w:eastAsia="Arial" w:hAnsi="Arial"/>
                <w:sz w:val="20"/>
                <w:szCs w:val="20"/>
                <w:color w:val="auto"/>
              </w:rPr>
              <w:t>Amplidata N.V.</w:t>
            </w:r>
          </w:p>
        </w:tc>
        <w:tc>
          <w:tcPr>
            <w:tcW w:w="3620" w:type="dxa"/>
            <w:vAlign w:val="bottom"/>
          </w:tcPr>
          <w:p>
            <w:pPr>
              <w:ind w:left="300"/>
              <w:spacing w:after="0"/>
              <w:rPr>
                <w:sz w:val="20"/>
                <w:szCs w:val="20"/>
                <w:color w:val="auto"/>
              </w:rPr>
            </w:pPr>
            <w:r>
              <w:rPr>
                <w:rFonts w:ascii="Arial" w:cs="Arial" w:eastAsia="Arial" w:hAnsi="Arial"/>
                <w:sz w:val="20"/>
                <w:szCs w:val="20"/>
                <w:color w:val="auto"/>
              </w:rPr>
              <w:t>Belgium</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EasyStore Memory Limited</w:t>
            </w:r>
          </w:p>
        </w:tc>
        <w:tc>
          <w:tcPr>
            <w:tcW w:w="3620" w:type="dxa"/>
            <w:vAlign w:val="bottom"/>
          </w:tcPr>
          <w:p>
            <w:pPr>
              <w:ind w:left="300"/>
              <w:spacing w:after="0"/>
              <w:rPr>
                <w:sz w:val="20"/>
                <w:szCs w:val="20"/>
                <w:color w:val="auto"/>
              </w:rPr>
            </w:pPr>
            <w:r>
              <w:rPr>
                <w:rFonts w:ascii="Arial" w:cs="Arial" w:eastAsia="Arial" w:hAnsi="Arial"/>
                <w:sz w:val="20"/>
                <w:szCs w:val="20"/>
                <w:color w:val="auto"/>
              </w:rPr>
              <w:t>Ireland</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Fusion-io LLC</w:t>
            </w:r>
          </w:p>
        </w:tc>
        <w:tc>
          <w:tcPr>
            <w:tcW w:w="3620" w:type="dxa"/>
            <w:vAlign w:val="bottom"/>
          </w:tcPr>
          <w:p>
            <w:pPr>
              <w:ind w:left="300"/>
              <w:spacing w:after="0"/>
              <w:rPr>
                <w:sz w:val="20"/>
                <w:szCs w:val="20"/>
                <w:color w:val="auto"/>
              </w:rPr>
            </w:pPr>
            <w:r>
              <w:rPr>
                <w:rFonts w:ascii="Arial" w:cs="Arial" w:eastAsia="Arial" w:hAnsi="Arial"/>
                <w:sz w:val="20"/>
                <w:szCs w:val="20"/>
                <w:color w:val="auto"/>
              </w:rPr>
              <w:t>Delaware</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Fusion-io Poland SP.Z.O.O.</w:t>
            </w:r>
          </w:p>
        </w:tc>
        <w:tc>
          <w:tcPr>
            <w:tcW w:w="3620" w:type="dxa"/>
            <w:vAlign w:val="bottom"/>
          </w:tcPr>
          <w:p>
            <w:pPr>
              <w:ind w:left="300"/>
              <w:spacing w:after="0"/>
              <w:rPr>
                <w:sz w:val="20"/>
                <w:szCs w:val="20"/>
                <w:color w:val="auto"/>
              </w:rPr>
            </w:pPr>
            <w:r>
              <w:rPr>
                <w:rFonts w:ascii="Arial" w:cs="Arial" w:eastAsia="Arial" w:hAnsi="Arial"/>
                <w:sz w:val="20"/>
                <w:szCs w:val="20"/>
                <w:color w:val="auto"/>
              </w:rPr>
              <w:t>Poland</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Fusion-io Singapore Private Ltd</w:t>
            </w:r>
          </w:p>
        </w:tc>
        <w:tc>
          <w:tcPr>
            <w:tcW w:w="3620" w:type="dxa"/>
            <w:vAlign w:val="bottom"/>
          </w:tcPr>
          <w:p>
            <w:pPr>
              <w:ind w:left="300"/>
              <w:spacing w:after="0"/>
              <w:rPr>
                <w:sz w:val="20"/>
                <w:szCs w:val="20"/>
                <w:color w:val="auto"/>
              </w:rPr>
            </w:pPr>
            <w:r>
              <w:rPr>
                <w:rFonts w:ascii="Arial" w:cs="Arial" w:eastAsia="Arial" w:hAnsi="Arial"/>
                <w:sz w:val="20"/>
                <w:szCs w:val="20"/>
                <w:color w:val="auto"/>
              </w:rPr>
              <w:t>Singapore</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HGST (Shenzhen) Co., Ltd.</w:t>
            </w:r>
          </w:p>
        </w:tc>
        <w:tc>
          <w:tcPr>
            <w:tcW w:w="3620" w:type="dxa"/>
            <w:vAlign w:val="bottom"/>
          </w:tcPr>
          <w:p>
            <w:pPr>
              <w:ind w:left="300"/>
              <w:spacing w:after="0"/>
              <w:rPr>
                <w:sz w:val="20"/>
                <w:szCs w:val="20"/>
                <w:color w:val="auto"/>
              </w:rPr>
            </w:pPr>
            <w:r>
              <w:rPr>
                <w:rFonts w:ascii="Arial" w:cs="Arial" w:eastAsia="Arial" w:hAnsi="Arial"/>
                <w:sz w:val="20"/>
                <w:szCs w:val="20"/>
                <w:color w:val="auto"/>
              </w:rPr>
              <w:t>China</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HGST Consulting (Shanghai) Co., Ltd.</w:t>
            </w:r>
          </w:p>
        </w:tc>
        <w:tc>
          <w:tcPr>
            <w:tcW w:w="3620" w:type="dxa"/>
            <w:vAlign w:val="bottom"/>
          </w:tcPr>
          <w:p>
            <w:pPr>
              <w:ind w:left="300"/>
              <w:spacing w:after="0"/>
              <w:rPr>
                <w:sz w:val="20"/>
                <w:szCs w:val="20"/>
                <w:color w:val="auto"/>
              </w:rPr>
            </w:pPr>
            <w:r>
              <w:rPr>
                <w:rFonts w:ascii="Arial" w:cs="Arial" w:eastAsia="Arial" w:hAnsi="Arial"/>
                <w:sz w:val="20"/>
                <w:szCs w:val="20"/>
                <w:color w:val="auto"/>
              </w:rPr>
              <w:t>China</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HGST Europe, Ltd.</w:t>
            </w:r>
          </w:p>
        </w:tc>
        <w:tc>
          <w:tcPr>
            <w:tcW w:w="3620" w:type="dxa"/>
            <w:vAlign w:val="bottom"/>
          </w:tcPr>
          <w:p>
            <w:pPr>
              <w:ind w:left="300"/>
              <w:spacing w:after="0"/>
              <w:rPr>
                <w:sz w:val="20"/>
                <w:szCs w:val="20"/>
                <w:color w:val="auto"/>
              </w:rPr>
            </w:pPr>
            <w:r>
              <w:rPr>
                <w:rFonts w:ascii="Arial" w:cs="Arial" w:eastAsia="Arial" w:hAnsi="Arial"/>
                <w:sz w:val="20"/>
                <w:szCs w:val="20"/>
                <w:color w:val="auto"/>
              </w:rPr>
              <w:t>United Kingdom</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HGST Japan, Ltd.</w:t>
            </w:r>
          </w:p>
        </w:tc>
        <w:tc>
          <w:tcPr>
            <w:tcW w:w="3620" w:type="dxa"/>
            <w:vAlign w:val="bottom"/>
          </w:tcPr>
          <w:p>
            <w:pPr>
              <w:ind w:left="300"/>
              <w:spacing w:after="0"/>
              <w:rPr>
                <w:sz w:val="20"/>
                <w:szCs w:val="20"/>
                <w:color w:val="auto"/>
              </w:rPr>
            </w:pPr>
            <w:r>
              <w:rPr>
                <w:rFonts w:ascii="Arial" w:cs="Arial" w:eastAsia="Arial" w:hAnsi="Arial"/>
                <w:sz w:val="20"/>
                <w:szCs w:val="20"/>
                <w:color w:val="auto"/>
              </w:rPr>
              <w:t>Japan</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HGST Malaysia Sdn. Bhd.</w:t>
            </w:r>
          </w:p>
        </w:tc>
        <w:tc>
          <w:tcPr>
            <w:tcW w:w="3620" w:type="dxa"/>
            <w:vAlign w:val="bottom"/>
          </w:tcPr>
          <w:p>
            <w:pPr>
              <w:ind w:left="300"/>
              <w:spacing w:after="0"/>
              <w:rPr>
                <w:sz w:val="20"/>
                <w:szCs w:val="20"/>
                <w:color w:val="auto"/>
              </w:rPr>
            </w:pPr>
            <w:r>
              <w:rPr>
                <w:rFonts w:ascii="Arial" w:cs="Arial" w:eastAsia="Arial" w:hAnsi="Arial"/>
                <w:sz w:val="20"/>
                <w:szCs w:val="20"/>
                <w:color w:val="auto"/>
              </w:rPr>
              <w:t>Malaysia</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HGST Netherlands B.V.</w:t>
            </w:r>
          </w:p>
        </w:tc>
        <w:tc>
          <w:tcPr>
            <w:tcW w:w="3620" w:type="dxa"/>
            <w:vAlign w:val="bottom"/>
          </w:tcPr>
          <w:p>
            <w:pPr>
              <w:ind w:left="300"/>
              <w:spacing w:after="0"/>
              <w:rPr>
                <w:sz w:val="20"/>
                <w:szCs w:val="20"/>
                <w:color w:val="auto"/>
              </w:rPr>
            </w:pPr>
            <w:r>
              <w:rPr>
                <w:rFonts w:ascii="Arial" w:cs="Arial" w:eastAsia="Arial" w:hAnsi="Arial"/>
                <w:sz w:val="20"/>
                <w:szCs w:val="20"/>
                <w:color w:val="auto"/>
              </w:rPr>
              <w:t>Netherlands</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HGST Singapore Pte. Ltd.</w:t>
            </w:r>
          </w:p>
        </w:tc>
        <w:tc>
          <w:tcPr>
            <w:tcW w:w="3620" w:type="dxa"/>
            <w:vAlign w:val="bottom"/>
          </w:tcPr>
          <w:p>
            <w:pPr>
              <w:ind w:left="300"/>
              <w:spacing w:after="0"/>
              <w:rPr>
                <w:sz w:val="20"/>
                <w:szCs w:val="20"/>
                <w:color w:val="auto"/>
              </w:rPr>
            </w:pPr>
            <w:r>
              <w:rPr>
                <w:rFonts w:ascii="Arial" w:cs="Arial" w:eastAsia="Arial" w:hAnsi="Arial"/>
                <w:sz w:val="20"/>
                <w:szCs w:val="20"/>
                <w:color w:val="auto"/>
              </w:rPr>
              <w:t>Singapore</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HGST Technologies India Private Limited</w:t>
            </w:r>
          </w:p>
        </w:tc>
        <w:tc>
          <w:tcPr>
            <w:tcW w:w="3620" w:type="dxa"/>
            <w:vAlign w:val="bottom"/>
          </w:tcPr>
          <w:p>
            <w:pPr>
              <w:ind w:left="300"/>
              <w:spacing w:after="0"/>
              <w:rPr>
                <w:sz w:val="20"/>
                <w:szCs w:val="20"/>
                <w:color w:val="auto"/>
              </w:rPr>
            </w:pPr>
            <w:r>
              <w:rPr>
                <w:rFonts w:ascii="Arial" w:cs="Arial" w:eastAsia="Arial" w:hAnsi="Arial"/>
                <w:sz w:val="20"/>
                <w:szCs w:val="20"/>
                <w:color w:val="auto"/>
              </w:rPr>
              <w:t>India</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HGST Technologies Malaysia Sdn. Bhd.</w:t>
            </w:r>
          </w:p>
        </w:tc>
        <w:tc>
          <w:tcPr>
            <w:tcW w:w="3620" w:type="dxa"/>
            <w:vAlign w:val="bottom"/>
          </w:tcPr>
          <w:p>
            <w:pPr>
              <w:ind w:left="300"/>
              <w:spacing w:after="0"/>
              <w:rPr>
                <w:sz w:val="20"/>
                <w:szCs w:val="20"/>
                <w:color w:val="auto"/>
              </w:rPr>
            </w:pPr>
            <w:r>
              <w:rPr>
                <w:rFonts w:ascii="Arial" w:cs="Arial" w:eastAsia="Arial" w:hAnsi="Arial"/>
                <w:sz w:val="20"/>
                <w:szCs w:val="20"/>
                <w:color w:val="auto"/>
              </w:rPr>
              <w:t>Malaysia</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HICAP Properties Corp.</w:t>
            </w:r>
          </w:p>
        </w:tc>
        <w:tc>
          <w:tcPr>
            <w:tcW w:w="3620" w:type="dxa"/>
            <w:vAlign w:val="bottom"/>
          </w:tcPr>
          <w:p>
            <w:pPr>
              <w:ind w:left="300"/>
              <w:spacing w:after="0"/>
              <w:rPr>
                <w:sz w:val="20"/>
                <w:szCs w:val="20"/>
                <w:color w:val="auto"/>
              </w:rPr>
            </w:pPr>
            <w:r>
              <w:rPr>
                <w:rFonts w:ascii="Arial" w:cs="Arial" w:eastAsia="Arial" w:hAnsi="Arial"/>
                <w:sz w:val="20"/>
                <w:szCs w:val="20"/>
                <w:color w:val="auto"/>
              </w:rPr>
              <w:t>Philippines</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Keen Personal Media, Inc.</w:t>
            </w:r>
          </w:p>
        </w:tc>
        <w:tc>
          <w:tcPr>
            <w:tcW w:w="3620" w:type="dxa"/>
            <w:vAlign w:val="bottom"/>
          </w:tcPr>
          <w:p>
            <w:pPr>
              <w:ind w:left="300"/>
              <w:spacing w:after="0"/>
              <w:rPr>
                <w:sz w:val="20"/>
                <w:szCs w:val="20"/>
                <w:color w:val="auto"/>
              </w:rPr>
            </w:pPr>
            <w:r>
              <w:rPr>
                <w:rFonts w:ascii="Arial" w:cs="Arial" w:eastAsia="Arial" w:hAnsi="Arial"/>
                <w:sz w:val="20"/>
                <w:szCs w:val="20"/>
                <w:color w:val="auto"/>
              </w:rPr>
              <w:t>Delaware</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Pacifica Insurance Corporation</w:t>
            </w:r>
          </w:p>
        </w:tc>
        <w:tc>
          <w:tcPr>
            <w:tcW w:w="3620" w:type="dxa"/>
            <w:vAlign w:val="bottom"/>
          </w:tcPr>
          <w:p>
            <w:pPr>
              <w:ind w:left="300"/>
              <w:spacing w:after="0"/>
              <w:rPr>
                <w:sz w:val="20"/>
                <w:szCs w:val="20"/>
                <w:color w:val="auto"/>
              </w:rPr>
            </w:pPr>
            <w:r>
              <w:rPr>
                <w:rFonts w:ascii="Arial" w:cs="Arial" w:eastAsia="Arial" w:hAnsi="Arial"/>
                <w:sz w:val="20"/>
                <w:szCs w:val="20"/>
                <w:color w:val="auto"/>
              </w:rPr>
              <w:t>Hawaii</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Prestadora SD, S. de R.L. de C.V.</w:t>
            </w:r>
          </w:p>
        </w:tc>
        <w:tc>
          <w:tcPr>
            <w:tcW w:w="3620" w:type="dxa"/>
            <w:vAlign w:val="bottom"/>
          </w:tcPr>
          <w:p>
            <w:pPr>
              <w:ind w:left="300"/>
              <w:spacing w:after="0"/>
              <w:rPr>
                <w:sz w:val="20"/>
                <w:szCs w:val="20"/>
                <w:color w:val="auto"/>
              </w:rPr>
            </w:pPr>
            <w:r>
              <w:rPr>
                <w:rFonts w:ascii="Arial" w:cs="Arial" w:eastAsia="Arial" w:hAnsi="Arial"/>
                <w:sz w:val="20"/>
                <w:szCs w:val="20"/>
                <w:color w:val="auto"/>
              </w:rPr>
              <w:t>Mexico</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Read-Rite Philippines, Inc.</w:t>
            </w:r>
          </w:p>
        </w:tc>
        <w:tc>
          <w:tcPr>
            <w:tcW w:w="3620" w:type="dxa"/>
            <w:vAlign w:val="bottom"/>
          </w:tcPr>
          <w:p>
            <w:pPr>
              <w:ind w:left="300"/>
              <w:spacing w:after="0"/>
              <w:rPr>
                <w:sz w:val="20"/>
                <w:szCs w:val="20"/>
                <w:color w:val="auto"/>
              </w:rPr>
            </w:pPr>
            <w:r>
              <w:rPr>
                <w:rFonts w:ascii="Arial" w:cs="Arial" w:eastAsia="Arial" w:hAnsi="Arial"/>
                <w:sz w:val="20"/>
                <w:szCs w:val="20"/>
                <w:color w:val="auto"/>
              </w:rPr>
              <w:t>Philippines</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Sandbox Expansion LLC</w:t>
            </w:r>
          </w:p>
        </w:tc>
        <w:tc>
          <w:tcPr>
            <w:tcW w:w="3620" w:type="dxa"/>
            <w:vAlign w:val="bottom"/>
          </w:tcPr>
          <w:p>
            <w:pPr>
              <w:ind w:left="300"/>
              <w:spacing w:after="0"/>
              <w:rPr>
                <w:sz w:val="20"/>
                <w:szCs w:val="20"/>
                <w:color w:val="auto"/>
              </w:rPr>
            </w:pPr>
            <w:r>
              <w:rPr>
                <w:rFonts w:ascii="Arial" w:cs="Arial" w:eastAsia="Arial" w:hAnsi="Arial"/>
                <w:sz w:val="20"/>
                <w:szCs w:val="20"/>
                <w:color w:val="auto"/>
              </w:rPr>
              <w:t>Delaware</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(Cayman) Limited</w:t>
            </w:r>
          </w:p>
        </w:tc>
        <w:tc>
          <w:tcPr>
            <w:tcW w:w="3620" w:type="dxa"/>
            <w:vAlign w:val="bottom"/>
          </w:tcPr>
          <w:p>
            <w:pPr>
              <w:ind w:left="300"/>
              <w:spacing w:after="0"/>
              <w:rPr>
                <w:sz w:val="20"/>
                <w:szCs w:val="20"/>
                <w:color w:val="auto"/>
              </w:rPr>
            </w:pPr>
            <w:r>
              <w:rPr>
                <w:rFonts w:ascii="Arial" w:cs="Arial" w:eastAsia="Arial" w:hAnsi="Arial"/>
                <w:sz w:val="20"/>
                <w:szCs w:val="20"/>
                <w:color w:val="auto"/>
              </w:rPr>
              <w:t>Cayman Islands</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(Ireland) Limited</w:t>
            </w:r>
          </w:p>
        </w:tc>
        <w:tc>
          <w:tcPr>
            <w:tcW w:w="3620" w:type="dxa"/>
            <w:vAlign w:val="bottom"/>
          </w:tcPr>
          <w:p>
            <w:pPr>
              <w:ind w:left="300"/>
              <w:spacing w:after="0"/>
              <w:rPr>
                <w:sz w:val="20"/>
                <w:szCs w:val="20"/>
                <w:color w:val="auto"/>
              </w:rPr>
            </w:pPr>
            <w:r>
              <w:rPr>
                <w:rFonts w:ascii="Arial" w:cs="Arial" w:eastAsia="Arial" w:hAnsi="Arial"/>
                <w:sz w:val="20"/>
                <w:szCs w:val="20"/>
                <w:color w:val="auto"/>
              </w:rPr>
              <w:t>Ireland</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3D IP Holdings Ltd</w:t>
            </w:r>
          </w:p>
        </w:tc>
        <w:tc>
          <w:tcPr>
            <w:tcW w:w="3620" w:type="dxa"/>
            <w:vAlign w:val="bottom"/>
          </w:tcPr>
          <w:p>
            <w:pPr>
              <w:ind w:left="300"/>
              <w:spacing w:after="0"/>
              <w:rPr>
                <w:sz w:val="20"/>
                <w:szCs w:val="20"/>
                <w:color w:val="auto"/>
              </w:rPr>
            </w:pPr>
            <w:r>
              <w:rPr>
                <w:rFonts w:ascii="Arial" w:cs="Arial" w:eastAsia="Arial" w:hAnsi="Arial"/>
                <w:sz w:val="20"/>
                <w:szCs w:val="20"/>
                <w:color w:val="auto"/>
              </w:rPr>
              <w:t>Cayman Islands</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China Limited</w:t>
            </w:r>
          </w:p>
        </w:tc>
        <w:tc>
          <w:tcPr>
            <w:tcW w:w="3620" w:type="dxa"/>
            <w:vAlign w:val="bottom"/>
          </w:tcPr>
          <w:p>
            <w:pPr>
              <w:ind w:left="300"/>
              <w:spacing w:after="0"/>
              <w:rPr>
                <w:sz w:val="20"/>
                <w:szCs w:val="20"/>
                <w:color w:val="auto"/>
              </w:rPr>
            </w:pPr>
            <w:r>
              <w:rPr>
                <w:rFonts w:ascii="Arial" w:cs="Arial" w:eastAsia="Arial" w:hAnsi="Arial"/>
                <w:sz w:val="20"/>
                <w:szCs w:val="20"/>
                <w:color w:val="auto"/>
              </w:rPr>
              <w:t>Ireland</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China LLC</w:t>
            </w:r>
          </w:p>
        </w:tc>
        <w:tc>
          <w:tcPr>
            <w:tcW w:w="3620" w:type="dxa"/>
            <w:vAlign w:val="bottom"/>
          </w:tcPr>
          <w:p>
            <w:pPr>
              <w:ind w:left="300"/>
              <w:spacing w:after="0"/>
              <w:rPr>
                <w:sz w:val="20"/>
                <w:szCs w:val="20"/>
                <w:color w:val="auto"/>
              </w:rPr>
            </w:pPr>
            <w:r>
              <w:rPr>
                <w:rFonts w:ascii="Arial" w:cs="Arial" w:eastAsia="Arial" w:hAnsi="Arial"/>
                <w:sz w:val="20"/>
                <w:szCs w:val="20"/>
                <w:color w:val="auto"/>
              </w:rPr>
              <w:t>Delaware</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Flash B.V.</w:t>
            </w:r>
          </w:p>
        </w:tc>
        <w:tc>
          <w:tcPr>
            <w:tcW w:w="3620" w:type="dxa"/>
            <w:vAlign w:val="bottom"/>
          </w:tcPr>
          <w:p>
            <w:pPr>
              <w:ind w:left="300"/>
              <w:spacing w:after="0"/>
              <w:rPr>
                <w:sz w:val="20"/>
                <w:szCs w:val="20"/>
                <w:color w:val="auto"/>
              </w:rPr>
            </w:pPr>
            <w:r>
              <w:rPr>
                <w:rFonts w:ascii="Arial" w:cs="Arial" w:eastAsia="Arial" w:hAnsi="Arial"/>
                <w:sz w:val="20"/>
                <w:szCs w:val="20"/>
                <w:color w:val="auto"/>
              </w:rPr>
              <w:t>Netherlands</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Hong Kong Limited</w:t>
            </w:r>
          </w:p>
        </w:tc>
        <w:tc>
          <w:tcPr>
            <w:tcW w:w="3620" w:type="dxa"/>
            <w:vAlign w:val="bottom"/>
          </w:tcPr>
          <w:p>
            <w:pPr>
              <w:ind w:left="300"/>
              <w:spacing w:after="0"/>
              <w:rPr>
                <w:sz w:val="20"/>
                <w:szCs w:val="20"/>
                <w:color w:val="auto"/>
              </w:rPr>
            </w:pPr>
            <w:r>
              <w:rPr>
                <w:rFonts w:ascii="Arial" w:cs="Arial" w:eastAsia="Arial" w:hAnsi="Arial"/>
                <w:sz w:val="20"/>
                <w:szCs w:val="20"/>
                <w:color w:val="auto"/>
              </w:rPr>
              <w:t>Hong Kong</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India Device Design Centre Private Limited</w:t>
            </w:r>
          </w:p>
        </w:tc>
        <w:tc>
          <w:tcPr>
            <w:tcW w:w="3620" w:type="dxa"/>
            <w:vAlign w:val="bottom"/>
          </w:tcPr>
          <w:p>
            <w:pPr>
              <w:ind w:left="300"/>
              <w:spacing w:after="0"/>
              <w:rPr>
                <w:sz w:val="20"/>
                <w:szCs w:val="20"/>
                <w:color w:val="auto"/>
              </w:rPr>
            </w:pPr>
            <w:r>
              <w:rPr>
                <w:rFonts w:ascii="Arial" w:cs="Arial" w:eastAsia="Arial" w:hAnsi="Arial"/>
                <w:sz w:val="20"/>
                <w:szCs w:val="20"/>
                <w:color w:val="auto"/>
              </w:rPr>
              <w:t>India</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Information Technology (Shanghai) Co. Ltd.</w:t>
            </w:r>
          </w:p>
        </w:tc>
        <w:tc>
          <w:tcPr>
            <w:tcW w:w="3620" w:type="dxa"/>
            <w:vAlign w:val="bottom"/>
          </w:tcPr>
          <w:p>
            <w:pPr>
              <w:ind w:left="300"/>
              <w:spacing w:after="0"/>
              <w:rPr>
                <w:sz w:val="20"/>
                <w:szCs w:val="20"/>
                <w:color w:val="auto"/>
              </w:rPr>
            </w:pPr>
            <w:r>
              <w:rPr>
                <w:rFonts w:ascii="Arial" w:cs="Arial" w:eastAsia="Arial" w:hAnsi="Arial"/>
                <w:sz w:val="20"/>
                <w:szCs w:val="20"/>
                <w:color w:val="auto"/>
              </w:rPr>
              <w:t>China</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International Limited</w:t>
            </w:r>
          </w:p>
        </w:tc>
        <w:tc>
          <w:tcPr>
            <w:tcW w:w="3620" w:type="dxa"/>
            <w:vAlign w:val="bottom"/>
          </w:tcPr>
          <w:p>
            <w:pPr>
              <w:ind w:left="300"/>
              <w:spacing w:after="0"/>
              <w:rPr>
                <w:sz w:val="20"/>
                <w:szCs w:val="20"/>
                <w:color w:val="auto"/>
              </w:rPr>
            </w:pPr>
            <w:r>
              <w:rPr>
                <w:rFonts w:ascii="Arial" w:cs="Arial" w:eastAsia="Arial" w:hAnsi="Arial"/>
                <w:sz w:val="20"/>
                <w:szCs w:val="20"/>
                <w:color w:val="auto"/>
              </w:rPr>
              <w:t>Ireland</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International Middle East FZE</w:t>
            </w:r>
          </w:p>
        </w:tc>
        <w:tc>
          <w:tcPr>
            <w:tcW w:w="3620" w:type="dxa"/>
            <w:vAlign w:val="bottom"/>
          </w:tcPr>
          <w:p>
            <w:pPr>
              <w:ind w:left="300"/>
              <w:spacing w:after="0"/>
              <w:rPr>
                <w:sz w:val="20"/>
                <w:szCs w:val="20"/>
                <w:color w:val="auto"/>
              </w:rPr>
            </w:pPr>
            <w:r>
              <w:rPr>
                <w:rFonts w:ascii="Arial" w:cs="Arial" w:eastAsia="Arial" w:hAnsi="Arial"/>
                <w:sz w:val="20"/>
                <w:szCs w:val="20"/>
                <w:color w:val="auto"/>
              </w:rPr>
              <w:t>United Arab Emirates</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Italy S.R.L.</w:t>
            </w:r>
          </w:p>
        </w:tc>
        <w:tc>
          <w:tcPr>
            <w:tcW w:w="3620" w:type="dxa"/>
            <w:vAlign w:val="bottom"/>
          </w:tcPr>
          <w:p>
            <w:pPr>
              <w:ind w:left="300"/>
              <w:spacing w:after="0"/>
              <w:rPr>
                <w:sz w:val="20"/>
                <w:szCs w:val="20"/>
                <w:color w:val="auto"/>
              </w:rPr>
            </w:pPr>
            <w:r>
              <w:rPr>
                <w:rFonts w:ascii="Arial" w:cs="Arial" w:eastAsia="Arial" w:hAnsi="Arial"/>
                <w:sz w:val="20"/>
                <w:szCs w:val="20"/>
                <w:color w:val="auto"/>
              </w:rPr>
              <w:t>Italy</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Korea Limited</w:t>
            </w:r>
          </w:p>
        </w:tc>
        <w:tc>
          <w:tcPr>
            <w:tcW w:w="3620" w:type="dxa"/>
            <w:vAlign w:val="bottom"/>
          </w:tcPr>
          <w:p>
            <w:pPr>
              <w:ind w:left="300"/>
              <w:spacing w:after="0"/>
              <w:rPr>
                <w:sz w:val="20"/>
                <w:szCs w:val="20"/>
                <w:color w:val="auto"/>
              </w:rPr>
            </w:pPr>
            <w:r>
              <w:rPr>
                <w:rFonts w:ascii="Arial" w:cs="Arial" w:eastAsia="Arial" w:hAnsi="Arial"/>
                <w:sz w:val="20"/>
                <w:szCs w:val="20"/>
                <w:color w:val="auto"/>
              </w:rPr>
              <w:t>Korea</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LLC</w:t>
            </w:r>
          </w:p>
        </w:tc>
        <w:tc>
          <w:tcPr>
            <w:tcW w:w="3620" w:type="dxa"/>
            <w:vAlign w:val="bottom"/>
          </w:tcPr>
          <w:p>
            <w:pPr>
              <w:ind w:left="300"/>
              <w:spacing w:after="0"/>
              <w:rPr>
                <w:sz w:val="20"/>
                <w:szCs w:val="20"/>
                <w:color w:val="auto"/>
              </w:rPr>
            </w:pPr>
            <w:r>
              <w:rPr>
                <w:rFonts w:ascii="Arial" w:cs="Arial" w:eastAsia="Arial" w:hAnsi="Arial"/>
                <w:sz w:val="20"/>
                <w:szCs w:val="20"/>
                <w:color w:val="auto"/>
              </w:rPr>
              <w:t>Delaware</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Malaysia Sdn. Bhd.</w:t>
            </w:r>
          </w:p>
        </w:tc>
        <w:tc>
          <w:tcPr>
            <w:tcW w:w="3620" w:type="dxa"/>
            <w:vAlign w:val="bottom"/>
          </w:tcPr>
          <w:p>
            <w:pPr>
              <w:ind w:left="300"/>
              <w:spacing w:after="0"/>
              <w:rPr>
                <w:sz w:val="20"/>
                <w:szCs w:val="20"/>
                <w:color w:val="auto"/>
              </w:rPr>
            </w:pPr>
            <w:r>
              <w:rPr>
                <w:rFonts w:ascii="Arial" w:cs="Arial" w:eastAsia="Arial" w:hAnsi="Arial"/>
                <w:sz w:val="20"/>
                <w:szCs w:val="20"/>
                <w:color w:val="auto"/>
              </w:rPr>
              <w:t>Malaysia</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Manufacturing Americas, LLC</w:t>
            </w:r>
          </w:p>
        </w:tc>
        <w:tc>
          <w:tcPr>
            <w:tcW w:w="3620" w:type="dxa"/>
            <w:vAlign w:val="bottom"/>
          </w:tcPr>
          <w:p>
            <w:pPr>
              <w:ind w:left="300"/>
              <w:spacing w:after="0"/>
              <w:rPr>
                <w:sz w:val="20"/>
                <w:szCs w:val="20"/>
                <w:color w:val="auto"/>
              </w:rPr>
            </w:pPr>
            <w:r>
              <w:rPr>
                <w:rFonts w:ascii="Arial" w:cs="Arial" w:eastAsia="Arial" w:hAnsi="Arial"/>
                <w:sz w:val="20"/>
                <w:szCs w:val="20"/>
                <w:color w:val="auto"/>
              </w:rPr>
              <w:t>Delaware</w:t>
            </w:r>
          </w:p>
        </w:tc>
      </w:tr>
      <w:tr>
        <w:trPr>
          <w:trHeight w:val="297"/>
        </w:trPr>
        <w:tc>
          <w:tcPr>
            <w:tcW w:w="7620" w:type="dxa"/>
            <w:vAlign w:val="bottom"/>
          </w:tcPr>
          <w:p>
            <w:pPr>
              <w:ind w:left="80"/>
              <w:spacing w:after="0"/>
              <w:rPr>
                <w:sz w:val="20"/>
                <w:szCs w:val="20"/>
                <w:color w:val="auto"/>
              </w:rPr>
            </w:pPr>
            <w:r>
              <w:rPr>
                <w:rFonts w:ascii="Arial" w:cs="Arial" w:eastAsia="Arial" w:hAnsi="Arial"/>
                <w:sz w:val="20"/>
                <w:szCs w:val="20"/>
                <w:color w:val="auto"/>
              </w:rPr>
              <w:t>SanDisk Pazarlama Ve Ticaret Limited Sirketi</w:t>
            </w:r>
          </w:p>
        </w:tc>
        <w:tc>
          <w:tcPr>
            <w:tcW w:w="3620" w:type="dxa"/>
            <w:vAlign w:val="bottom"/>
          </w:tcPr>
          <w:p>
            <w:pPr>
              <w:ind w:left="300"/>
              <w:spacing w:after="0"/>
              <w:rPr>
                <w:sz w:val="20"/>
                <w:szCs w:val="20"/>
                <w:color w:val="auto"/>
              </w:rPr>
            </w:pPr>
            <w:r>
              <w:rPr>
                <w:rFonts w:ascii="Arial" w:cs="Arial" w:eastAsia="Arial" w:hAnsi="Arial"/>
                <w:sz w:val="20"/>
                <w:szCs w:val="20"/>
                <w:color w:val="auto"/>
              </w:rPr>
              <w:t>Turkey</w:t>
            </w:r>
          </w:p>
        </w:tc>
      </w:tr>
    </w:tbl>
    <w:p>
      <w:pPr>
        <w:sectPr>
          <w:pgSz w:w="11900" w:h="16838" w:orient="portrait"/>
          <w:cols w:equalWidth="0" w:num="1">
            <w:col w:w="11240"/>
          </w:cols>
          <w:pgMar w:left="320" w:top="1426" w:right="339" w:bottom="1440" w:gutter="0" w:footer="0" w:header="0"/>
        </w:sectPr>
      </w:pPr>
    </w:p>
    <w:bookmarkStart w:id="133" w:name="page134"/>
    <w:bookmarkEnd w:id="133"/>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40" w:type="dxa"/>
            <w:vAlign w:val="bottom"/>
          </w:tcPr>
          <w:p>
            <w:pPr>
              <w:spacing w:after="0"/>
              <w:rPr>
                <w:sz w:val="20"/>
                <w:szCs w:val="20"/>
                <w:color w:val="auto"/>
              </w:rPr>
            </w:pPr>
            <w:r>
              <w:rPr>
                <w:rFonts w:ascii="Arial" w:cs="Arial" w:eastAsia="Arial" w:hAnsi="Arial"/>
                <w:sz w:val="20"/>
                <w:szCs w:val="20"/>
                <w:color w:val="auto"/>
              </w:rPr>
              <w:t>SanDisk Scotland, Limited</w:t>
            </w:r>
          </w:p>
        </w:tc>
        <w:tc>
          <w:tcPr>
            <w:tcW w:w="1840" w:type="dxa"/>
            <w:vAlign w:val="bottom"/>
          </w:tcPr>
          <w:p>
            <w:pPr>
              <w:ind w:left="500"/>
              <w:spacing w:after="0"/>
              <w:rPr>
                <w:sz w:val="20"/>
                <w:szCs w:val="20"/>
                <w:color w:val="auto"/>
              </w:rPr>
            </w:pPr>
            <w:r>
              <w:rPr>
                <w:rFonts w:ascii="Arial" w:cs="Arial" w:eastAsia="Arial" w:hAnsi="Arial"/>
                <w:sz w:val="20"/>
                <w:szCs w:val="20"/>
                <w:color w:val="auto"/>
                <w:w w:val="92"/>
              </w:rPr>
              <w:t>United Kingdom</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SanDisk Semiconductor (Shanghai) Co. Ltd.</w:t>
            </w:r>
          </w:p>
        </w:tc>
        <w:tc>
          <w:tcPr>
            <w:tcW w:w="1840" w:type="dxa"/>
            <w:vAlign w:val="bottom"/>
          </w:tcPr>
          <w:p>
            <w:pPr>
              <w:ind w:left="500"/>
              <w:spacing w:after="0"/>
              <w:rPr>
                <w:sz w:val="20"/>
                <w:szCs w:val="20"/>
                <w:color w:val="auto"/>
              </w:rPr>
            </w:pPr>
            <w:r>
              <w:rPr>
                <w:rFonts w:ascii="Arial" w:cs="Arial" w:eastAsia="Arial" w:hAnsi="Arial"/>
                <w:sz w:val="20"/>
                <w:szCs w:val="20"/>
                <w:color w:val="auto"/>
              </w:rPr>
              <w:t>China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SanDisk Spain, S.L.U.</w:t>
            </w:r>
          </w:p>
        </w:tc>
        <w:tc>
          <w:tcPr>
            <w:tcW w:w="1840" w:type="dxa"/>
            <w:vAlign w:val="bottom"/>
          </w:tcPr>
          <w:p>
            <w:pPr>
              <w:ind w:left="500"/>
              <w:spacing w:after="0"/>
              <w:rPr>
                <w:sz w:val="20"/>
                <w:szCs w:val="20"/>
                <w:color w:val="auto"/>
              </w:rPr>
            </w:pPr>
            <w:r>
              <w:rPr>
                <w:rFonts w:ascii="Arial" w:cs="Arial" w:eastAsia="Arial" w:hAnsi="Arial"/>
                <w:sz w:val="20"/>
                <w:szCs w:val="20"/>
                <w:color w:val="auto"/>
              </w:rPr>
              <w:t>Spain</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SanDisk Storage Malaysia Sdn. Bhd.</w:t>
            </w:r>
          </w:p>
        </w:tc>
        <w:tc>
          <w:tcPr>
            <w:tcW w:w="1840" w:type="dxa"/>
            <w:vAlign w:val="bottom"/>
          </w:tcPr>
          <w:p>
            <w:pPr>
              <w:ind w:left="500"/>
              <w:spacing w:after="0"/>
              <w:rPr>
                <w:sz w:val="20"/>
                <w:szCs w:val="20"/>
                <w:color w:val="auto"/>
              </w:rPr>
            </w:pPr>
            <w:r>
              <w:rPr>
                <w:rFonts w:ascii="Arial" w:cs="Arial" w:eastAsia="Arial" w:hAnsi="Arial"/>
                <w:sz w:val="20"/>
                <w:szCs w:val="20"/>
                <w:color w:val="auto"/>
              </w:rPr>
              <w:t>Malaysia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SanDisk Sweden AB</w:t>
            </w:r>
          </w:p>
        </w:tc>
        <w:tc>
          <w:tcPr>
            <w:tcW w:w="1840" w:type="dxa"/>
            <w:vAlign w:val="bottom"/>
          </w:tcPr>
          <w:p>
            <w:pPr>
              <w:ind w:left="500"/>
              <w:spacing w:after="0"/>
              <w:rPr>
                <w:sz w:val="20"/>
                <w:szCs w:val="20"/>
                <w:color w:val="auto"/>
              </w:rPr>
            </w:pPr>
            <w:r>
              <w:rPr>
                <w:rFonts w:ascii="Arial" w:cs="Arial" w:eastAsia="Arial" w:hAnsi="Arial"/>
                <w:sz w:val="20"/>
                <w:szCs w:val="20"/>
                <w:color w:val="auto"/>
              </w:rPr>
              <w:t>Sweden</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SanDisk Switzerland Sarl</w:t>
            </w:r>
          </w:p>
        </w:tc>
        <w:tc>
          <w:tcPr>
            <w:tcW w:w="1840" w:type="dxa"/>
            <w:vAlign w:val="bottom"/>
          </w:tcPr>
          <w:p>
            <w:pPr>
              <w:ind w:left="500"/>
              <w:spacing w:after="0"/>
              <w:rPr>
                <w:sz w:val="20"/>
                <w:szCs w:val="20"/>
                <w:color w:val="auto"/>
              </w:rPr>
            </w:pPr>
            <w:r>
              <w:rPr>
                <w:rFonts w:ascii="Arial" w:cs="Arial" w:eastAsia="Arial" w:hAnsi="Arial"/>
                <w:sz w:val="20"/>
                <w:szCs w:val="20"/>
                <w:color w:val="auto"/>
              </w:rPr>
              <w:t>Switzerland</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SanDisk Taiwan Limited</w:t>
            </w:r>
          </w:p>
        </w:tc>
        <w:tc>
          <w:tcPr>
            <w:tcW w:w="1840" w:type="dxa"/>
            <w:vAlign w:val="bottom"/>
          </w:tcPr>
          <w:p>
            <w:pPr>
              <w:ind w:left="500"/>
              <w:spacing w:after="0"/>
              <w:rPr>
                <w:sz w:val="20"/>
                <w:szCs w:val="20"/>
                <w:color w:val="auto"/>
              </w:rPr>
            </w:pPr>
            <w:r>
              <w:rPr>
                <w:rFonts w:ascii="Arial" w:cs="Arial" w:eastAsia="Arial" w:hAnsi="Arial"/>
                <w:sz w:val="20"/>
                <w:szCs w:val="20"/>
                <w:color w:val="auto"/>
              </w:rPr>
              <w:t>Taiwan</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SanDisk Technologies LLC</w:t>
            </w:r>
          </w:p>
        </w:tc>
        <w:tc>
          <w:tcPr>
            <w:tcW w:w="1840" w:type="dxa"/>
            <w:vAlign w:val="bottom"/>
          </w:tcPr>
          <w:p>
            <w:pPr>
              <w:ind w:left="500"/>
              <w:spacing w:after="0"/>
              <w:rPr>
                <w:sz w:val="20"/>
                <w:szCs w:val="20"/>
                <w:color w:val="auto"/>
              </w:rPr>
            </w:pPr>
            <w:r>
              <w:rPr>
                <w:rFonts w:ascii="Arial" w:cs="Arial" w:eastAsia="Arial" w:hAnsi="Arial"/>
                <w:sz w:val="20"/>
                <w:szCs w:val="20"/>
                <w:color w:val="auto"/>
              </w:rPr>
              <w:t>Texas</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SanDisk Technologies India Private Limited</w:t>
            </w:r>
          </w:p>
        </w:tc>
        <w:tc>
          <w:tcPr>
            <w:tcW w:w="1840" w:type="dxa"/>
            <w:vAlign w:val="bottom"/>
          </w:tcPr>
          <w:p>
            <w:pPr>
              <w:ind w:left="500"/>
              <w:spacing w:after="0"/>
              <w:rPr>
                <w:sz w:val="20"/>
                <w:szCs w:val="20"/>
                <w:color w:val="auto"/>
              </w:rPr>
            </w:pPr>
            <w:r>
              <w:rPr>
                <w:rFonts w:ascii="Arial" w:cs="Arial" w:eastAsia="Arial" w:hAnsi="Arial"/>
                <w:sz w:val="20"/>
                <w:szCs w:val="20"/>
                <w:color w:val="auto"/>
              </w:rPr>
              <w:t>India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SanDisk Trading (Shanghai) Co. Ltd.</w:t>
            </w:r>
          </w:p>
        </w:tc>
        <w:tc>
          <w:tcPr>
            <w:tcW w:w="1840" w:type="dxa"/>
            <w:vAlign w:val="bottom"/>
          </w:tcPr>
          <w:p>
            <w:pPr>
              <w:ind w:left="500"/>
              <w:spacing w:after="0"/>
              <w:rPr>
                <w:sz w:val="20"/>
                <w:szCs w:val="20"/>
                <w:color w:val="auto"/>
              </w:rPr>
            </w:pPr>
            <w:r>
              <w:rPr>
                <w:rFonts w:ascii="Arial" w:cs="Arial" w:eastAsia="Arial" w:hAnsi="Arial"/>
                <w:sz w:val="20"/>
                <w:szCs w:val="20"/>
                <w:color w:val="auto"/>
              </w:rPr>
              <w:t>China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SanDisk Trading Holdings Limited</w:t>
            </w:r>
          </w:p>
        </w:tc>
        <w:tc>
          <w:tcPr>
            <w:tcW w:w="1840" w:type="dxa"/>
            <w:vAlign w:val="bottom"/>
          </w:tcPr>
          <w:p>
            <w:pPr>
              <w:ind w:left="500"/>
              <w:spacing w:after="0"/>
              <w:rPr>
                <w:sz w:val="20"/>
                <w:szCs w:val="20"/>
                <w:color w:val="auto"/>
              </w:rPr>
            </w:pPr>
            <w:r>
              <w:rPr>
                <w:rFonts w:ascii="Arial" w:cs="Arial" w:eastAsia="Arial" w:hAnsi="Arial"/>
                <w:sz w:val="20"/>
                <w:szCs w:val="20"/>
                <w:color w:val="auto"/>
              </w:rPr>
              <w:t>Ireland</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SanDisk UK, Limited</w:t>
            </w:r>
          </w:p>
        </w:tc>
        <w:tc>
          <w:tcPr>
            <w:tcW w:w="1840" w:type="dxa"/>
            <w:vAlign w:val="bottom"/>
          </w:tcPr>
          <w:p>
            <w:pPr>
              <w:ind w:left="500"/>
              <w:spacing w:after="0"/>
              <w:rPr>
                <w:sz w:val="20"/>
                <w:szCs w:val="20"/>
                <w:color w:val="auto"/>
              </w:rPr>
            </w:pPr>
            <w:r>
              <w:rPr>
                <w:rFonts w:ascii="Arial" w:cs="Arial" w:eastAsia="Arial" w:hAnsi="Arial"/>
                <w:sz w:val="20"/>
                <w:szCs w:val="20"/>
                <w:color w:val="auto"/>
                <w:w w:val="92"/>
              </w:rPr>
              <w:t>United Kingdom</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SD International Holdings Ltd.</w:t>
            </w:r>
          </w:p>
        </w:tc>
        <w:tc>
          <w:tcPr>
            <w:tcW w:w="1840" w:type="dxa"/>
            <w:vAlign w:val="bottom"/>
          </w:tcPr>
          <w:p>
            <w:pPr>
              <w:ind w:left="500"/>
              <w:spacing w:after="0"/>
              <w:rPr>
                <w:sz w:val="20"/>
                <w:szCs w:val="20"/>
                <w:color w:val="auto"/>
              </w:rPr>
            </w:pPr>
            <w:r>
              <w:rPr>
                <w:rFonts w:ascii="Arial" w:cs="Arial" w:eastAsia="Arial" w:hAnsi="Arial"/>
                <w:sz w:val="20"/>
                <w:szCs w:val="20"/>
                <w:color w:val="auto"/>
                <w:w w:val="92"/>
              </w:rPr>
              <w:t>Cayman Islands</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SMART Storage Systems GmbH</w:t>
            </w:r>
          </w:p>
        </w:tc>
        <w:tc>
          <w:tcPr>
            <w:tcW w:w="1840" w:type="dxa"/>
            <w:vAlign w:val="bottom"/>
          </w:tcPr>
          <w:p>
            <w:pPr>
              <w:ind w:left="500"/>
              <w:spacing w:after="0"/>
              <w:rPr>
                <w:sz w:val="20"/>
                <w:szCs w:val="20"/>
                <w:color w:val="auto"/>
              </w:rPr>
            </w:pPr>
            <w:r>
              <w:rPr>
                <w:rFonts w:ascii="Arial" w:cs="Arial" w:eastAsia="Arial" w:hAnsi="Arial"/>
                <w:sz w:val="20"/>
                <w:szCs w:val="20"/>
                <w:color w:val="auto"/>
              </w:rPr>
              <w:t>Austria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STEC International Holding, LLC</w:t>
            </w:r>
          </w:p>
        </w:tc>
        <w:tc>
          <w:tcPr>
            <w:tcW w:w="1840" w:type="dxa"/>
            <w:vAlign w:val="bottom"/>
          </w:tcPr>
          <w:p>
            <w:pPr>
              <w:ind w:left="500"/>
              <w:spacing w:after="0"/>
              <w:rPr>
                <w:sz w:val="20"/>
                <w:szCs w:val="20"/>
                <w:color w:val="auto"/>
              </w:rPr>
            </w:pPr>
            <w:r>
              <w:rPr>
                <w:rFonts w:ascii="Arial" w:cs="Arial" w:eastAsia="Arial" w:hAnsi="Arial"/>
                <w:sz w:val="20"/>
                <w:szCs w:val="20"/>
                <w:color w:val="auto"/>
              </w:rPr>
              <w:t>California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Suntech Realty, Inc.</w:t>
            </w:r>
          </w:p>
        </w:tc>
        <w:tc>
          <w:tcPr>
            <w:tcW w:w="1840" w:type="dxa"/>
            <w:vAlign w:val="bottom"/>
          </w:tcPr>
          <w:p>
            <w:pPr>
              <w:ind w:left="500"/>
              <w:spacing w:after="0"/>
              <w:rPr>
                <w:sz w:val="20"/>
                <w:szCs w:val="20"/>
                <w:color w:val="auto"/>
              </w:rPr>
            </w:pPr>
            <w:r>
              <w:rPr>
                <w:rFonts w:ascii="Arial" w:cs="Arial" w:eastAsia="Arial" w:hAnsi="Arial"/>
                <w:sz w:val="20"/>
                <w:szCs w:val="20"/>
                <w:color w:val="auto"/>
              </w:rPr>
              <w:t>Philippines</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Virident Systems International Holdings Ltd.</w:t>
            </w:r>
          </w:p>
        </w:tc>
        <w:tc>
          <w:tcPr>
            <w:tcW w:w="1840" w:type="dxa"/>
            <w:vAlign w:val="bottom"/>
          </w:tcPr>
          <w:p>
            <w:pPr>
              <w:ind w:left="500"/>
              <w:spacing w:after="0"/>
              <w:rPr>
                <w:sz w:val="20"/>
                <w:szCs w:val="20"/>
                <w:color w:val="auto"/>
              </w:rPr>
            </w:pPr>
            <w:r>
              <w:rPr>
                <w:rFonts w:ascii="Arial" w:cs="Arial" w:eastAsia="Arial" w:hAnsi="Arial"/>
                <w:sz w:val="20"/>
                <w:szCs w:val="20"/>
                <w:color w:val="auto"/>
                <w:w w:val="92"/>
              </w:rPr>
              <w:t>Cayman Islands</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Virident Systems, LLC</w:t>
            </w:r>
          </w:p>
        </w:tc>
        <w:tc>
          <w:tcPr>
            <w:tcW w:w="1840" w:type="dxa"/>
            <w:vAlign w:val="bottom"/>
          </w:tcPr>
          <w:p>
            <w:pPr>
              <w:ind w:left="500"/>
              <w:spacing w:after="0"/>
              <w:rPr>
                <w:sz w:val="20"/>
                <w:szCs w:val="20"/>
                <w:color w:val="auto"/>
              </w:rPr>
            </w:pPr>
            <w:r>
              <w:rPr>
                <w:rFonts w:ascii="Arial" w:cs="Arial" w:eastAsia="Arial" w:hAnsi="Arial"/>
                <w:sz w:val="20"/>
                <w:szCs w:val="20"/>
                <w:color w:val="auto"/>
              </w:rPr>
              <w:t>Delaware</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WD Media (Malaysia) Sdn.</w:t>
            </w:r>
          </w:p>
        </w:tc>
        <w:tc>
          <w:tcPr>
            <w:tcW w:w="1840" w:type="dxa"/>
            <w:vAlign w:val="bottom"/>
          </w:tcPr>
          <w:p>
            <w:pPr>
              <w:ind w:left="500"/>
              <w:spacing w:after="0"/>
              <w:rPr>
                <w:sz w:val="20"/>
                <w:szCs w:val="20"/>
                <w:color w:val="auto"/>
              </w:rPr>
            </w:pPr>
            <w:r>
              <w:rPr>
                <w:rFonts w:ascii="Arial" w:cs="Arial" w:eastAsia="Arial" w:hAnsi="Arial"/>
                <w:sz w:val="20"/>
                <w:szCs w:val="20"/>
                <w:color w:val="auto"/>
              </w:rPr>
              <w:t>Malaysia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WD Technologies Nigeria Limited</w:t>
            </w:r>
          </w:p>
        </w:tc>
        <w:tc>
          <w:tcPr>
            <w:tcW w:w="1840" w:type="dxa"/>
            <w:vAlign w:val="bottom"/>
          </w:tcPr>
          <w:p>
            <w:pPr>
              <w:ind w:left="500"/>
              <w:spacing w:after="0"/>
              <w:rPr>
                <w:sz w:val="20"/>
                <w:szCs w:val="20"/>
                <w:color w:val="auto"/>
              </w:rPr>
            </w:pPr>
            <w:r>
              <w:rPr>
                <w:rFonts w:ascii="Arial" w:cs="Arial" w:eastAsia="Arial" w:hAnsi="Arial"/>
                <w:sz w:val="20"/>
                <w:szCs w:val="20"/>
                <w:color w:val="auto"/>
              </w:rPr>
              <w:t>Nigeria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(Argentina) S.A.</w:t>
            </w:r>
          </w:p>
        </w:tc>
        <w:tc>
          <w:tcPr>
            <w:tcW w:w="1840" w:type="dxa"/>
            <w:vAlign w:val="bottom"/>
          </w:tcPr>
          <w:p>
            <w:pPr>
              <w:ind w:left="500"/>
              <w:spacing w:after="0"/>
              <w:rPr>
                <w:sz w:val="20"/>
                <w:szCs w:val="20"/>
                <w:color w:val="auto"/>
              </w:rPr>
            </w:pPr>
            <w:r>
              <w:rPr>
                <w:rFonts w:ascii="Arial" w:cs="Arial" w:eastAsia="Arial" w:hAnsi="Arial"/>
                <w:sz w:val="20"/>
                <w:szCs w:val="20"/>
                <w:color w:val="auto"/>
              </w:rPr>
              <w:t>Argentina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(France) SARL</w:t>
            </w:r>
          </w:p>
        </w:tc>
        <w:tc>
          <w:tcPr>
            <w:tcW w:w="1840" w:type="dxa"/>
            <w:vAlign w:val="bottom"/>
          </w:tcPr>
          <w:p>
            <w:pPr>
              <w:ind w:left="500"/>
              <w:spacing w:after="0"/>
              <w:rPr>
                <w:sz w:val="20"/>
                <w:szCs w:val="20"/>
                <w:color w:val="auto"/>
              </w:rPr>
            </w:pPr>
            <w:r>
              <w:rPr>
                <w:rFonts w:ascii="Arial" w:cs="Arial" w:eastAsia="Arial" w:hAnsi="Arial"/>
                <w:sz w:val="20"/>
                <w:szCs w:val="20"/>
                <w:color w:val="auto"/>
              </w:rPr>
              <w:t>France</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(I.S.) Limited</w:t>
            </w:r>
          </w:p>
        </w:tc>
        <w:tc>
          <w:tcPr>
            <w:tcW w:w="1840" w:type="dxa"/>
            <w:vAlign w:val="bottom"/>
          </w:tcPr>
          <w:p>
            <w:pPr>
              <w:ind w:left="500"/>
              <w:spacing w:after="0"/>
              <w:rPr>
                <w:sz w:val="20"/>
                <w:szCs w:val="20"/>
                <w:color w:val="auto"/>
              </w:rPr>
            </w:pPr>
            <w:r>
              <w:rPr>
                <w:rFonts w:ascii="Arial" w:cs="Arial" w:eastAsia="Arial" w:hAnsi="Arial"/>
                <w:sz w:val="20"/>
                <w:szCs w:val="20"/>
                <w:color w:val="auto"/>
              </w:rPr>
              <w:t>Ireland</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(Malaysia) Sdn. Bhd.</w:t>
            </w:r>
          </w:p>
        </w:tc>
        <w:tc>
          <w:tcPr>
            <w:tcW w:w="1840" w:type="dxa"/>
            <w:vAlign w:val="bottom"/>
          </w:tcPr>
          <w:p>
            <w:pPr>
              <w:ind w:left="500"/>
              <w:spacing w:after="0"/>
              <w:rPr>
                <w:sz w:val="20"/>
                <w:szCs w:val="20"/>
                <w:color w:val="auto"/>
              </w:rPr>
            </w:pPr>
            <w:r>
              <w:rPr>
                <w:rFonts w:ascii="Arial" w:cs="Arial" w:eastAsia="Arial" w:hAnsi="Arial"/>
                <w:sz w:val="20"/>
                <w:szCs w:val="20"/>
                <w:color w:val="auto"/>
              </w:rPr>
              <w:t>Malaysia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(Singapore) Pte. Ltd.</w:t>
            </w:r>
          </w:p>
        </w:tc>
        <w:tc>
          <w:tcPr>
            <w:tcW w:w="1840" w:type="dxa"/>
            <w:vAlign w:val="bottom"/>
          </w:tcPr>
          <w:p>
            <w:pPr>
              <w:ind w:left="500"/>
              <w:spacing w:after="0"/>
              <w:rPr>
                <w:sz w:val="20"/>
                <w:szCs w:val="20"/>
                <w:color w:val="auto"/>
              </w:rPr>
            </w:pPr>
            <w:r>
              <w:rPr>
                <w:rFonts w:ascii="Arial" w:cs="Arial" w:eastAsia="Arial" w:hAnsi="Arial"/>
                <w:sz w:val="20"/>
                <w:szCs w:val="20"/>
                <w:color w:val="auto"/>
              </w:rPr>
              <w:t>Singapore</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(UK) Limited</w:t>
            </w:r>
          </w:p>
        </w:tc>
        <w:tc>
          <w:tcPr>
            <w:tcW w:w="1840" w:type="dxa"/>
            <w:vAlign w:val="bottom"/>
          </w:tcPr>
          <w:p>
            <w:pPr>
              <w:ind w:left="500"/>
              <w:spacing w:after="0"/>
              <w:rPr>
                <w:sz w:val="20"/>
                <w:szCs w:val="20"/>
                <w:color w:val="auto"/>
              </w:rPr>
            </w:pPr>
            <w:r>
              <w:rPr>
                <w:rFonts w:ascii="Arial" w:cs="Arial" w:eastAsia="Arial" w:hAnsi="Arial"/>
                <w:sz w:val="20"/>
                <w:szCs w:val="20"/>
                <w:color w:val="auto"/>
                <w:w w:val="92"/>
              </w:rPr>
              <w:t>United Kingdom</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(Vietnam) Limited Liability Company</w:t>
            </w:r>
          </w:p>
        </w:tc>
        <w:tc>
          <w:tcPr>
            <w:tcW w:w="1840" w:type="dxa"/>
            <w:vAlign w:val="bottom"/>
          </w:tcPr>
          <w:p>
            <w:pPr>
              <w:ind w:left="500"/>
              <w:spacing w:after="0"/>
              <w:rPr>
                <w:sz w:val="20"/>
                <w:szCs w:val="20"/>
                <w:color w:val="auto"/>
              </w:rPr>
            </w:pPr>
            <w:r>
              <w:rPr>
                <w:rFonts w:ascii="Arial" w:cs="Arial" w:eastAsia="Arial" w:hAnsi="Arial"/>
                <w:sz w:val="20"/>
                <w:szCs w:val="20"/>
                <w:color w:val="auto"/>
              </w:rPr>
              <w:t>Vietnam</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Australia Pty Ltd</w:t>
            </w:r>
          </w:p>
        </w:tc>
        <w:tc>
          <w:tcPr>
            <w:tcW w:w="1840" w:type="dxa"/>
            <w:vAlign w:val="bottom"/>
          </w:tcPr>
          <w:p>
            <w:pPr>
              <w:ind w:left="500"/>
              <w:spacing w:after="0"/>
              <w:rPr>
                <w:sz w:val="20"/>
                <w:szCs w:val="20"/>
                <w:color w:val="auto"/>
              </w:rPr>
            </w:pPr>
            <w:r>
              <w:rPr>
                <w:rFonts w:ascii="Arial" w:cs="Arial" w:eastAsia="Arial" w:hAnsi="Arial"/>
                <w:sz w:val="20"/>
                <w:szCs w:val="20"/>
                <w:color w:val="auto"/>
              </w:rPr>
              <w:t>Australia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Canada Corporation</w:t>
            </w:r>
          </w:p>
        </w:tc>
        <w:tc>
          <w:tcPr>
            <w:tcW w:w="1840" w:type="dxa"/>
            <w:vAlign w:val="bottom"/>
          </w:tcPr>
          <w:p>
            <w:pPr>
              <w:ind w:left="500"/>
              <w:spacing w:after="0"/>
              <w:rPr>
                <w:sz w:val="20"/>
                <w:szCs w:val="20"/>
                <w:color w:val="auto"/>
              </w:rPr>
            </w:pPr>
            <w:r>
              <w:rPr>
                <w:rFonts w:ascii="Arial" w:cs="Arial" w:eastAsia="Arial" w:hAnsi="Arial"/>
                <w:sz w:val="20"/>
                <w:szCs w:val="20"/>
                <w:color w:val="auto"/>
                <w:w w:val="89"/>
              </w:rPr>
              <w:t>Ontario, Canada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Capital Global, Ltd.</w:t>
            </w:r>
          </w:p>
        </w:tc>
        <w:tc>
          <w:tcPr>
            <w:tcW w:w="1840" w:type="dxa"/>
            <w:vAlign w:val="bottom"/>
          </w:tcPr>
          <w:p>
            <w:pPr>
              <w:ind w:left="500"/>
              <w:spacing w:after="0"/>
              <w:rPr>
                <w:sz w:val="20"/>
                <w:szCs w:val="20"/>
                <w:color w:val="auto"/>
              </w:rPr>
            </w:pPr>
            <w:r>
              <w:rPr>
                <w:rFonts w:ascii="Arial" w:cs="Arial" w:eastAsia="Arial" w:hAnsi="Arial"/>
                <w:sz w:val="20"/>
                <w:szCs w:val="20"/>
                <w:color w:val="auto"/>
                <w:w w:val="92"/>
              </w:rPr>
              <w:t>Cayman Islands</w:t>
            </w:r>
          </w:p>
        </w:tc>
      </w:tr>
      <w:tr>
        <w:trPr>
          <w:trHeight w:val="222"/>
        </w:trPr>
        <w:tc>
          <w:tcPr>
            <w:tcW w:w="7340" w:type="dxa"/>
            <w:vAlign w:val="bottom"/>
          </w:tcPr>
          <w:p>
            <w:pPr>
              <w:spacing w:after="0" w:line="222" w:lineRule="exact"/>
              <w:rPr>
                <w:sz w:val="20"/>
                <w:szCs w:val="20"/>
                <w:color w:val="auto"/>
              </w:rPr>
            </w:pPr>
            <w:r>
              <w:rPr>
                <w:rFonts w:ascii="Arial" w:cs="Arial" w:eastAsia="Arial" w:hAnsi="Arial"/>
                <w:sz w:val="20"/>
                <w:szCs w:val="20"/>
                <w:color w:val="auto"/>
              </w:rPr>
              <w:t>Western Digital Capital, LLC</w:t>
            </w:r>
          </w:p>
        </w:tc>
        <w:tc>
          <w:tcPr>
            <w:tcW w:w="1840" w:type="dxa"/>
            <w:vAlign w:val="bottom"/>
          </w:tcPr>
          <w:p>
            <w:pPr>
              <w:ind w:left="500"/>
              <w:spacing w:after="0" w:line="222" w:lineRule="exact"/>
              <w:rPr>
                <w:sz w:val="20"/>
                <w:szCs w:val="20"/>
                <w:color w:val="auto"/>
              </w:rPr>
            </w:pPr>
            <w:r>
              <w:rPr>
                <w:rFonts w:ascii="Arial" w:cs="Arial" w:eastAsia="Arial" w:hAnsi="Arial"/>
                <w:sz w:val="20"/>
                <w:szCs w:val="20"/>
                <w:color w:val="auto"/>
              </w:rPr>
              <w:t>Delaware</w:t>
            </w:r>
          </w:p>
        </w:tc>
      </w:tr>
      <w:tr>
        <w:trPr>
          <w:trHeight w:val="250"/>
        </w:trPr>
        <w:tc>
          <w:tcPr>
            <w:tcW w:w="7340" w:type="dxa"/>
            <w:vAlign w:val="bottom"/>
          </w:tcPr>
          <w:p>
            <w:pPr>
              <w:spacing w:after="0"/>
              <w:rPr>
                <w:sz w:val="20"/>
                <w:szCs w:val="20"/>
                <w:color w:val="auto"/>
              </w:rPr>
            </w:pPr>
            <w:r>
              <w:rPr>
                <w:rFonts w:ascii="Arial" w:cs="Arial" w:eastAsia="Arial" w:hAnsi="Arial"/>
                <w:sz w:val="20"/>
                <w:szCs w:val="20"/>
                <w:color w:val="auto"/>
              </w:rPr>
              <w:t>Western Digital Denmark ApS</w:t>
            </w:r>
          </w:p>
        </w:tc>
        <w:tc>
          <w:tcPr>
            <w:tcW w:w="1840" w:type="dxa"/>
            <w:vAlign w:val="bottom"/>
          </w:tcPr>
          <w:p>
            <w:pPr>
              <w:ind w:left="500"/>
              <w:spacing w:after="0"/>
              <w:rPr>
                <w:sz w:val="20"/>
                <w:szCs w:val="20"/>
                <w:color w:val="auto"/>
              </w:rPr>
            </w:pPr>
            <w:r>
              <w:rPr>
                <w:rFonts w:ascii="Arial" w:cs="Arial" w:eastAsia="Arial" w:hAnsi="Arial"/>
                <w:sz w:val="20"/>
                <w:szCs w:val="20"/>
                <w:color w:val="auto"/>
              </w:rPr>
              <w:t>Denmark</w:t>
            </w:r>
          </w:p>
        </w:tc>
      </w:tr>
      <w:tr>
        <w:trPr>
          <w:trHeight w:val="270"/>
        </w:trPr>
        <w:tc>
          <w:tcPr>
            <w:tcW w:w="7340" w:type="dxa"/>
            <w:vAlign w:val="bottom"/>
          </w:tcPr>
          <w:p>
            <w:pPr>
              <w:spacing w:after="0"/>
              <w:rPr>
                <w:sz w:val="20"/>
                <w:szCs w:val="20"/>
                <w:color w:val="auto"/>
              </w:rPr>
            </w:pPr>
            <w:r>
              <w:rPr>
                <w:rFonts w:ascii="Arial" w:cs="Arial" w:eastAsia="Arial" w:hAnsi="Arial"/>
                <w:sz w:val="20"/>
                <w:szCs w:val="20"/>
                <w:color w:val="auto"/>
              </w:rPr>
              <w:t>Western Digital Deutschland GmbH</w:t>
            </w:r>
          </w:p>
        </w:tc>
        <w:tc>
          <w:tcPr>
            <w:tcW w:w="1840" w:type="dxa"/>
            <w:vAlign w:val="bottom"/>
          </w:tcPr>
          <w:p>
            <w:pPr>
              <w:ind w:left="500"/>
              <w:spacing w:after="0"/>
              <w:rPr>
                <w:sz w:val="20"/>
                <w:szCs w:val="20"/>
                <w:color w:val="auto"/>
              </w:rPr>
            </w:pPr>
            <w:r>
              <w:rPr>
                <w:rFonts w:ascii="Arial" w:cs="Arial" w:eastAsia="Arial" w:hAnsi="Arial"/>
                <w:sz w:val="20"/>
                <w:szCs w:val="20"/>
                <w:color w:val="auto"/>
              </w:rPr>
              <w:t>Germany</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w w:val="98"/>
              </w:rPr>
              <w:t>Western Digital Do Brasil Comercio E Distribuicao De Produtos De Informatica Ltda.</w:t>
            </w:r>
          </w:p>
        </w:tc>
        <w:tc>
          <w:tcPr>
            <w:tcW w:w="1840" w:type="dxa"/>
            <w:vAlign w:val="bottom"/>
          </w:tcPr>
          <w:p>
            <w:pPr>
              <w:ind w:left="500"/>
              <w:spacing w:after="0"/>
              <w:rPr>
                <w:sz w:val="20"/>
                <w:szCs w:val="20"/>
                <w:color w:val="auto"/>
              </w:rPr>
            </w:pPr>
            <w:r>
              <w:rPr>
                <w:rFonts w:ascii="Arial" w:cs="Arial" w:eastAsia="Arial" w:hAnsi="Arial"/>
                <w:sz w:val="20"/>
                <w:szCs w:val="20"/>
                <w:color w:val="auto"/>
              </w:rPr>
              <w:t>Brazil</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Federal, LLC</w:t>
            </w:r>
          </w:p>
        </w:tc>
        <w:tc>
          <w:tcPr>
            <w:tcW w:w="1840" w:type="dxa"/>
            <w:vAlign w:val="bottom"/>
          </w:tcPr>
          <w:p>
            <w:pPr>
              <w:ind w:left="500"/>
              <w:spacing w:after="0"/>
              <w:rPr>
                <w:sz w:val="20"/>
                <w:szCs w:val="20"/>
                <w:color w:val="auto"/>
              </w:rPr>
            </w:pPr>
            <w:r>
              <w:rPr>
                <w:rFonts w:ascii="Arial" w:cs="Arial" w:eastAsia="Arial" w:hAnsi="Arial"/>
                <w:sz w:val="20"/>
                <w:szCs w:val="20"/>
                <w:color w:val="auto"/>
              </w:rPr>
              <w:t>Delaware</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GK</w:t>
            </w:r>
          </w:p>
        </w:tc>
        <w:tc>
          <w:tcPr>
            <w:tcW w:w="1840" w:type="dxa"/>
            <w:vAlign w:val="bottom"/>
          </w:tcPr>
          <w:p>
            <w:pPr>
              <w:ind w:left="500"/>
              <w:spacing w:after="0"/>
              <w:rPr>
                <w:sz w:val="20"/>
                <w:szCs w:val="20"/>
                <w:color w:val="auto"/>
              </w:rPr>
            </w:pPr>
            <w:r>
              <w:rPr>
                <w:rFonts w:ascii="Arial" w:cs="Arial" w:eastAsia="Arial" w:hAnsi="Arial"/>
                <w:sz w:val="20"/>
                <w:szCs w:val="20"/>
                <w:color w:val="auto"/>
              </w:rPr>
              <w:t>Japan</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Hong Kong Limited</w:t>
            </w:r>
          </w:p>
        </w:tc>
        <w:tc>
          <w:tcPr>
            <w:tcW w:w="1840" w:type="dxa"/>
            <w:vAlign w:val="bottom"/>
          </w:tcPr>
          <w:p>
            <w:pPr>
              <w:ind w:left="500"/>
              <w:spacing w:after="0"/>
              <w:rPr>
                <w:sz w:val="20"/>
                <w:szCs w:val="20"/>
                <w:color w:val="auto"/>
              </w:rPr>
            </w:pPr>
            <w:r>
              <w:rPr>
                <w:rFonts w:ascii="Arial" w:cs="Arial" w:eastAsia="Arial" w:hAnsi="Arial"/>
                <w:sz w:val="20"/>
                <w:szCs w:val="20"/>
                <w:color w:val="auto"/>
              </w:rPr>
              <w:t>Hong Kong</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Information Technology (Shanghai) Company Ltd.</w:t>
            </w:r>
          </w:p>
        </w:tc>
        <w:tc>
          <w:tcPr>
            <w:tcW w:w="1840" w:type="dxa"/>
            <w:vAlign w:val="bottom"/>
          </w:tcPr>
          <w:p>
            <w:pPr>
              <w:ind w:left="500"/>
              <w:spacing w:after="0"/>
              <w:rPr>
                <w:sz w:val="20"/>
                <w:szCs w:val="20"/>
                <w:color w:val="auto"/>
              </w:rPr>
            </w:pPr>
            <w:r>
              <w:rPr>
                <w:rFonts w:ascii="Arial" w:cs="Arial" w:eastAsia="Arial" w:hAnsi="Arial"/>
                <w:sz w:val="20"/>
                <w:szCs w:val="20"/>
                <w:color w:val="auto"/>
              </w:rPr>
              <w:t>China</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International Ltd.</w:t>
            </w:r>
          </w:p>
        </w:tc>
        <w:tc>
          <w:tcPr>
            <w:tcW w:w="1840" w:type="dxa"/>
            <w:vAlign w:val="bottom"/>
          </w:tcPr>
          <w:p>
            <w:pPr>
              <w:ind w:left="500"/>
              <w:spacing w:after="0"/>
              <w:rPr>
                <w:sz w:val="20"/>
                <w:szCs w:val="20"/>
                <w:color w:val="auto"/>
              </w:rPr>
            </w:pPr>
            <w:r>
              <w:rPr>
                <w:rFonts w:ascii="Arial" w:cs="Arial" w:eastAsia="Arial" w:hAnsi="Arial"/>
                <w:sz w:val="20"/>
                <w:szCs w:val="20"/>
                <w:color w:val="auto"/>
                <w:w w:val="92"/>
              </w:rPr>
              <w:t>Cayman Islands</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Ireland, Ltd.</w:t>
            </w:r>
          </w:p>
        </w:tc>
        <w:tc>
          <w:tcPr>
            <w:tcW w:w="1840" w:type="dxa"/>
            <w:vAlign w:val="bottom"/>
          </w:tcPr>
          <w:p>
            <w:pPr>
              <w:ind w:left="500"/>
              <w:spacing w:after="0"/>
              <w:rPr>
                <w:sz w:val="20"/>
                <w:szCs w:val="20"/>
                <w:color w:val="auto"/>
              </w:rPr>
            </w:pPr>
            <w:r>
              <w:rPr>
                <w:rFonts w:ascii="Arial" w:cs="Arial" w:eastAsia="Arial" w:hAnsi="Arial"/>
                <w:sz w:val="20"/>
                <w:szCs w:val="20"/>
                <w:color w:val="auto"/>
                <w:w w:val="92"/>
              </w:rPr>
              <w:t>Cayman Islands</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Israel Ltd.</w:t>
            </w:r>
          </w:p>
        </w:tc>
        <w:tc>
          <w:tcPr>
            <w:tcW w:w="1840" w:type="dxa"/>
            <w:vAlign w:val="bottom"/>
          </w:tcPr>
          <w:p>
            <w:pPr>
              <w:ind w:left="500"/>
              <w:spacing w:after="0"/>
              <w:rPr>
                <w:sz w:val="20"/>
                <w:szCs w:val="20"/>
                <w:color w:val="auto"/>
              </w:rPr>
            </w:pPr>
            <w:r>
              <w:rPr>
                <w:rFonts w:ascii="Arial" w:cs="Arial" w:eastAsia="Arial" w:hAnsi="Arial"/>
                <w:sz w:val="20"/>
                <w:szCs w:val="20"/>
                <w:color w:val="auto"/>
              </w:rPr>
              <w:t>Israel</w:t>
            </w:r>
          </w:p>
        </w:tc>
      </w:tr>
      <w:tr>
        <w:trPr>
          <w:trHeight w:val="297"/>
        </w:trPr>
        <w:tc>
          <w:tcPr>
            <w:tcW w:w="7340" w:type="dxa"/>
            <w:vAlign w:val="bottom"/>
          </w:tcPr>
          <w:p>
            <w:pPr>
              <w:spacing w:after="0"/>
              <w:rPr>
                <w:sz w:val="20"/>
                <w:szCs w:val="20"/>
                <w:color w:val="auto"/>
              </w:rPr>
            </w:pPr>
            <w:r>
              <w:rPr>
                <w:rFonts w:ascii="Arial" w:cs="Arial" w:eastAsia="Arial" w:hAnsi="Arial"/>
                <w:sz w:val="20"/>
                <w:szCs w:val="20"/>
                <w:color w:val="auto"/>
              </w:rPr>
              <w:t>Western Digital Korea, Ltd.</w:t>
            </w:r>
          </w:p>
        </w:tc>
        <w:tc>
          <w:tcPr>
            <w:tcW w:w="1840" w:type="dxa"/>
            <w:vAlign w:val="bottom"/>
          </w:tcPr>
          <w:p>
            <w:pPr>
              <w:ind w:left="500"/>
              <w:spacing w:after="0"/>
              <w:rPr>
                <w:sz w:val="20"/>
                <w:szCs w:val="20"/>
                <w:color w:val="auto"/>
              </w:rPr>
            </w:pPr>
            <w:r>
              <w:rPr>
                <w:rFonts w:ascii="Arial" w:cs="Arial" w:eastAsia="Arial" w:hAnsi="Arial"/>
                <w:sz w:val="20"/>
                <w:szCs w:val="20"/>
                <w:color w:val="auto"/>
              </w:rPr>
              <w:t>Korea</w:t>
            </w:r>
          </w:p>
        </w:tc>
      </w:tr>
    </w:tbl>
    <w:p>
      <w:pPr>
        <w:sectPr>
          <w:pgSz w:w="11900" w:h="16838" w:orient="portrait"/>
          <w:cols w:equalWidth="0" w:num="1">
            <w:col w:w="10059"/>
          </w:cols>
          <w:pgMar w:left="400" w:top="1440" w:right="1440" w:bottom="1440" w:gutter="0" w:footer="0" w:header="0"/>
        </w:sectPr>
      </w:pPr>
    </w:p>
    <w:bookmarkStart w:id="134" w:name="page135"/>
    <w:bookmarkEnd w:id="134"/>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Western Digital Latin America, LLC</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Western Digital Storage Technology Innovation Center (Shenzhen) Co. Ltd.</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200" w:lineRule="exact"/>
        <w:rPr>
          <w:sz w:val="20"/>
          <w:szCs w:val="20"/>
          <w:color w:val="auto"/>
        </w:rPr>
      </w:pPr>
    </w:p>
    <w:p>
      <w:pPr>
        <w:sectPr>
          <w:pgSz w:w="11900" w:h="16838" w:orient="portrait"/>
          <w:cols w:equalWidth="0" w:num="2">
            <w:col w:w="7120" w:space="720"/>
            <w:col w:w="2219"/>
          </w:cols>
          <w:pgMar w:left="400" w:top="1440" w:right="1440"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Storage Technologies (Philippines) Corp.</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Western Digital Storage Technologies (Thailand) Ltd.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Western Digital Taiwan Co., Ltd.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Tech and Regional Center (M) Sdn. Bhd.</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Western Digital Technologies, Inc.</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Thailand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Taiwan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ectPr>
          <w:pgSz w:w="11900" w:h="16838" w:orient="portrait"/>
          <w:cols w:equalWidth="0" w:num="2">
            <w:col w:w="7120" w:space="720"/>
            <w:col w:w="2219"/>
          </w:cols>
          <w:pgMar w:left="400" w:top="1440" w:right="1440"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320" w:lineRule="exact"/>
        <w:rPr>
          <w:sz w:val="20"/>
          <w:szCs w:val="20"/>
          <w:color w:val="auto"/>
        </w:rPr>
      </w:pPr>
    </w:p>
    <w:p>
      <w:pPr>
        <w:jc w:val="both"/>
        <w:ind w:firstLine="324"/>
        <w:spacing w:after="0" w:line="339" w:lineRule="auto"/>
        <w:rPr>
          <w:sz w:val="20"/>
          <w:szCs w:val="20"/>
          <w:color w:val="auto"/>
        </w:rPr>
      </w:pPr>
      <w:r>
        <w:rPr>
          <w:rFonts w:ascii="Arial" w:cs="Arial" w:eastAsia="Arial" w:hAnsi="Arial"/>
          <w:sz w:val="18"/>
          <w:szCs w:val="18"/>
          <w:color w:val="auto"/>
        </w:rPr>
        <w:t>We consent to the incorporation by reference in the registration statements on Form S-8 (Nos. 333-41423, 333-122475, 333-129813, 333-155661, 333-163133, 333-180286, 333-185194, 333-191216, 333-191910, 333-202646, 333-207842, 333-211420, 33-60168, 333-221407, 333-228331, 333-235257, 333-250968, 333-261184, and 333-268479), and the registration statement on Form S-3 (No. 333-259102) of our report dated August 21, 2023, with respect to the consolidated financial statements of Western Digital Corporation and subsidiaries and the effectiveness of internal control over financial reporting.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August 21, 2023</w:t>
      </w:r>
    </w:p>
    <w:p>
      <w:pPr>
        <w:sectPr>
          <w:pgSz w:w="11900" w:h="16838" w:orient="portrait"/>
          <w:cols w:equalWidth="0" w:num="1">
            <w:col w:w="11240"/>
          </w:cols>
          <w:pgMar w:left="320" w:top="94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David V. Goeckeler, certify that:</w:t>
      </w:r>
    </w:p>
    <w:p>
      <w:pPr>
        <w:spacing w:after="0" w:line="104" w:lineRule="exact"/>
        <w:rPr>
          <w:sz w:val="20"/>
          <w:szCs w:val="20"/>
          <w:color w:val="auto"/>
        </w:rPr>
      </w:pPr>
    </w:p>
    <w:p>
      <w:pPr>
        <w:ind w:left="520" w:hanging="188"/>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90"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right="220" w:firstLine="332"/>
        <w:spacing w:after="0" w:line="263" w:lineRule="auto"/>
        <w:tabs>
          <w:tab w:leader="none" w:pos="5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right="200" w:firstLine="656"/>
        <w:spacing w:after="0" w:line="263" w:lineRule="auto"/>
        <w:tabs>
          <w:tab w:leader="none" w:pos="8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40" w:firstLine="656"/>
        <w:spacing w:after="0" w:line="263" w:lineRule="auto"/>
        <w:tabs>
          <w:tab w:leader="none" w:pos="82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720" w:firstLine="656"/>
        <w:spacing w:after="0" w:line="334" w:lineRule="auto"/>
        <w:tabs>
          <w:tab w:leader="none" w:pos="818"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00" w:firstLine="656"/>
        <w:spacing w:after="0" w:line="263" w:lineRule="auto"/>
        <w:tabs>
          <w:tab w:leader="none" w:pos="82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220" w:firstLine="332"/>
        <w:spacing w:after="0" w:line="308" w:lineRule="auto"/>
        <w:tabs>
          <w:tab w:leader="none" w:pos="50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right="100" w:firstLine="656"/>
        <w:spacing w:after="0" w:line="277" w:lineRule="auto"/>
        <w:tabs>
          <w:tab w:leader="none" w:pos="8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60" w:firstLine="656"/>
        <w:spacing w:after="0" w:line="277" w:lineRule="auto"/>
        <w:tabs>
          <w:tab w:leader="none" w:pos="82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435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David V. Goeckeler</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2023</w:t>
      </w:r>
    </w:p>
    <w:p>
      <w:pPr>
        <w:sectPr>
          <w:pgSz w:w="11900" w:h="16838" w:orient="portrait"/>
          <w:cols w:equalWidth="0" w:num="1">
            <w:col w:w="11240"/>
          </w:cols>
          <w:pgMar w:left="320" w:top="89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Wissam Jabre, certify that:</w:t>
      </w:r>
    </w:p>
    <w:p>
      <w:pPr>
        <w:spacing w:after="0" w:line="104" w:lineRule="exact"/>
        <w:rPr>
          <w:sz w:val="20"/>
          <w:szCs w:val="20"/>
          <w:color w:val="auto"/>
        </w:rPr>
      </w:pPr>
    </w:p>
    <w:p>
      <w:pPr>
        <w:ind w:left="520" w:hanging="188"/>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90"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right="220" w:firstLine="332"/>
        <w:spacing w:after="0" w:line="263" w:lineRule="auto"/>
        <w:tabs>
          <w:tab w:leader="none" w:pos="5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right="200" w:firstLine="656"/>
        <w:spacing w:after="0" w:line="263" w:lineRule="auto"/>
        <w:tabs>
          <w:tab w:leader="none" w:pos="8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40" w:firstLine="656"/>
        <w:spacing w:after="0" w:line="263" w:lineRule="auto"/>
        <w:tabs>
          <w:tab w:leader="none" w:pos="82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720" w:firstLine="656"/>
        <w:spacing w:after="0" w:line="334" w:lineRule="auto"/>
        <w:tabs>
          <w:tab w:leader="none" w:pos="818"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00" w:firstLine="656"/>
        <w:spacing w:after="0" w:line="263" w:lineRule="auto"/>
        <w:tabs>
          <w:tab w:leader="none" w:pos="82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220" w:firstLine="332"/>
        <w:spacing w:after="0" w:line="308" w:lineRule="auto"/>
        <w:tabs>
          <w:tab w:leader="none" w:pos="50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right="100" w:firstLine="656"/>
        <w:spacing w:after="0" w:line="277" w:lineRule="auto"/>
        <w:tabs>
          <w:tab w:leader="none" w:pos="8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60" w:firstLine="656"/>
        <w:spacing w:after="0" w:line="277" w:lineRule="auto"/>
        <w:tabs>
          <w:tab w:leader="none" w:pos="82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292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0">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Wissam Jabre</w:t>
      </w:r>
    </w:p>
    <w:p>
      <w:pPr>
        <w:spacing w:after="0" w:line="7" w:lineRule="exact"/>
        <w:rPr>
          <w:sz w:val="20"/>
          <w:szCs w:val="20"/>
          <w:color w:val="auto"/>
        </w:rPr>
      </w:pPr>
    </w:p>
    <w:p>
      <w:pPr>
        <w:jc w:val="center"/>
        <w:ind w:left="6240"/>
        <w:spacing w:after="0"/>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2023</w:t>
      </w:r>
    </w:p>
    <w:p>
      <w:pPr>
        <w:sectPr>
          <w:pgSz w:w="11900" w:h="16838" w:orient="portrait"/>
          <w:cols w:equalWidth="0" w:num="1">
            <w:col w:w="11240"/>
          </w:cols>
          <w:pgMar w:left="320" w:top="891" w:right="339" w:bottom="1440" w:gutter="0" w:footer="0" w:header="0"/>
        </w:sectPr>
      </w:pPr>
    </w:p>
    <w:bookmarkStart w:id="138" w:name="page139"/>
    <w:bookmarkEnd w:id="138"/>
    <w:p>
      <w:pPr>
        <w:ind w:left="1032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9" w:lineRule="exact"/>
        <w:rPr>
          <w:sz w:val="20"/>
          <w:szCs w:val="20"/>
          <w:color w:val="auto"/>
        </w:rPr>
      </w:pPr>
    </w:p>
    <w:p>
      <w:pPr>
        <w:ind w:right="660" w:firstLine="332"/>
        <w:spacing w:after="0" w:line="308" w:lineRule="auto"/>
        <w:tabs>
          <w:tab w:leader="none" w:pos="53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June 30, 2023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435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David V. Goeckeler</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2023</w:t>
      </w:r>
    </w:p>
    <w:p>
      <w:pPr>
        <w:sectPr>
          <w:pgSz w:w="11900" w:h="16838" w:orient="portrait"/>
          <w:cols w:equalWidth="0" w:num="1">
            <w:col w:w="11240"/>
          </w:cols>
          <w:pgMar w:left="320" w:top="891" w:right="339" w:bottom="1440" w:gutter="0" w:footer="0" w:header="0"/>
        </w:sectPr>
      </w:pPr>
    </w:p>
    <w:bookmarkStart w:id="139" w:name="page140"/>
    <w:bookmarkEnd w:id="139"/>
    <w:p>
      <w:pPr>
        <w:ind w:left="1032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9" w:lineRule="exact"/>
        <w:rPr>
          <w:sz w:val="20"/>
          <w:szCs w:val="20"/>
          <w:color w:val="auto"/>
        </w:rPr>
      </w:pPr>
    </w:p>
    <w:p>
      <w:pPr>
        <w:ind w:right="660" w:firstLine="332"/>
        <w:spacing w:after="0" w:line="308" w:lineRule="auto"/>
        <w:tabs>
          <w:tab w:leader="none" w:pos="53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June 30, 2023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0861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Wissam Jabre</w:t>
      </w:r>
    </w:p>
    <w:p>
      <w:pPr>
        <w:spacing w:after="0" w:line="7"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300"/>
        <w:spacing w:after="0"/>
        <w:rPr>
          <w:sz w:val="20"/>
          <w:szCs w:val="20"/>
          <w:color w:val="auto"/>
        </w:rPr>
      </w:pPr>
      <w:r>
        <w:rPr>
          <w:rFonts w:ascii="Arial" w:cs="Arial" w:eastAsia="Arial" w:hAnsi="Arial"/>
          <w:sz w:val="18"/>
          <w:szCs w:val="18"/>
          <w:i w:val="1"/>
          <w:iCs w:val="1"/>
          <w:color w:val="auto"/>
        </w:rPr>
        <w:t>(Principal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21"/>
    </w:lvl>
  </w:abstractNum>
  <w:abstractNum w:abstractNumId="20">
    <w:nsid w:val="5577F8E1"/>
    <w:multiLevelType w:val="hybridMultilevel"/>
    <w:lvl w:ilvl="0">
      <w:lvlJc w:val="left"/>
      <w:lvlText w:val="%1"/>
      <w:numFmt w:val="decimal"/>
      <w:start w:val="23"/>
    </w:lvl>
  </w:abstractNum>
  <w:abstractNum w:abstractNumId="21">
    <w:nsid w:val="440BADFC"/>
    <w:multiLevelType w:val="hybridMultilevel"/>
    <w:lvl w:ilvl="0">
      <w:lvlJc w:val="left"/>
      <w:lvlText w:val="†"/>
      <w:numFmt w:val="bullet"/>
      <w:start w:val="1"/>
    </w:lvl>
    <w:lvl w:ilvl="1">
      <w:lvlJc w:val="left"/>
      <w:lvlText w:val="%2"/>
      <w:numFmt w:val="decimal"/>
      <w:start w:val="104"/>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Roman"/>
      <w:start w:val="1"/>
    </w:lvl>
  </w:abstractNum>
  <w:abstractNum w:abstractNumId="27">
    <w:nsid w:val="2463B9EA"/>
    <w:multiLevelType w:val="hybridMultilevel"/>
    <w:lvl w:ilvl="0">
      <w:lvlJc w:val="left"/>
      <w:lvlText w:val="(%1)"/>
      <w:numFmt w:val="lowerLetter"/>
      <w:start w:val="4"/>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6"/>
    </w:lvl>
  </w:abstractNum>
  <w:abstractNum w:abstractNumId="31">
    <w:nsid w:val="580BD78F"/>
    <w:multiLevelType w:val="hybridMultilevel"/>
    <w:lvl w:ilvl="0">
      <w:lvlJc w:val="left"/>
      <w:lvlText w:val="%1."/>
      <w:numFmt w:val="decimal"/>
      <w:start w:val="12"/>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decimal"/>
      <w:start w:val="1"/>
    </w:lvl>
    <w:lvl w:ilvl="1">
      <w:lvlJc w:val="left"/>
      <w:lvlText w:val="(%2)"/>
      <w:numFmt w:val="lowerLetter"/>
      <w:start w:val="2"/>
    </w:lvl>
  </w:abstractNum>
  <w:abstractNum w:abstractNumId="34">
    <w:nsid w:val="70A64E2A"/>
    <w:multiLevelType w:val="hybridMultilevel"/>
    <w:lvl w:ilvl="0">
      <w:lvlJc w:val="left"/>
      <w:lvlText w:val="%1."/>
      <w:numFmt w:val="decimal"/>
      <w:start w:val="4"/>
    </w:lvl>
    <w:lvl w:ilvl="1">
      <w:lvlJc w:val="left"/>
      <w:lvlText w:val="%2"/>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3"/>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4"/>
    </w:lvl>
  </w:abstractNum>
  <w:abstractNum w:abstractNumId="39">
    <w:nsid w:val="2CD89A32"/>
    <w:multiLevelType w:val="hybridMultilevel"/>
    <w:lvl w:ilvl="0">
      <w:lvlJc w:val="left"/>
      <w:lvlText w:val="(%1)"/>
      <w:numFmt w:val="lowerRoman"/>
      <w:start w:val="2"/>
    </w:lvl>
  </w:abstractNum>
  <w:abstractNum w:abstractNumId="40">
    <w:nsid w:val="57E4CCAF"/>
    <w:multiLevelType w:val="hybridMultilevel"/>
    <w:lvl w:ilvl="0">
      <w:lvlJc w:val="left"/>
      <w:lvlText w:val="%1."/>
      <w:numFmt w:val="decimal"/>
      <w:start w:val="5"/>
    </w:lvl>
  </w:abstractNum>
  <w:abstractNum w:abstractNumId="41">
    <w:nsid w:val="7A6D8D3C"/>
    <w:multiLevelType w:val="hybridMultilevel"/>
    <w:lvl w:ilvl="0">
      <w:lvlJc w:val="left"/>
      <w:lvlText w:val="%1."/>
      <w:numFmt w:val="decimal"/>
      <w:start w:val="6"/>
    </w:lvl>
  </w:abstractNum>
  <w:abstractNum w:abstractNumId="42">
    <w:nsid w:val="4B588F54"/>
    <w:multiLevelType w:val="hybridMultilevel"/>
    <w:lvl w:ilvl="0">
      <w:lvlJc w:val="left"/>
      <w:lvlText w:val="%1."/>
      <w:numFmt w:val="decimal"/>
      <w:start w:val="9"/>
    </w:lvl>
    <w:lvl w:ilvl="1">
      <w:lvlJc w:val="left"/>
      <w:lvlText w:val="•"/>
      <w:numFmt w:val="bullet"/>
      <w:start w:val="1"/>
    </w:lvl>
  </w:abstractNum>
  <w:abstractNum w:abstractNumId="43">
    <w:nsid w:val="542289EC"/>
    <w:multiLevelType w:val="hybridMultilevel"/>
    <w:lvl w:ilvl="0">
      <w:lvlJc w:val="left"/>
      <w:lvlText w:val="%1."/>
      <w:numFmt w:val="decimal"/>
      <w:start w:val="10"/>
    </w:lvl>
  </w:abstractNum>
  <w:abstractNum w:abstractNumId="44">
    <w:nsid w:val="6DE91B18"/>
    <w:multiLevelType w:val="hybridMultilevel"/>
    <w:lvl w:ilvl="0">
      <w:lvlJc w:val="left"/>
      <w:lvlText w:val="%1."/>
      <w:numFmt w:val="decimal"/>
      <w:start w:val="1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64" Type="http://schemas.openxmlformats.org/officeDocument/2006/relationships/image" Target="media/image124.png"/><Relationship Id="rId182" Type="http://schemas.openxmlformats.org/officeDocument/2006/relationships/image" Target="media/image125.png"/><Relationship Id="rId190" Type="http://schemas.openxmlformats.org/officeDocument/2006/relationships/image" Target="media/image126.png"/><Relationship Id="rId191" Type="http://schemas.openxmlformats.org/officeDocument/2006/relationships/image" Target="media/image127.png"/><Relationship Id="rId192" Type="http://schemas.openxmlformats.org/officeDocument/2006/relationships/image" Target="media/image128.png"/><Relationship Id="rId193" Type="http://schemas.openxmlformats.org/officeDocument/2006/relationships/image" Target="media/image129.png"/><Relationship Id="rId194" Type="http://schemas.openxmlformats.org/officeDocument/2006/relationships/image" Target="media/image130.png"/><Relationship Id="rId195" Type="http://schemas.openxmlformats.org/officeDocument/2006/relationships/image" Target="media/image131.png"/><Relationship Id="rId196" Type="http://schemas.openxmlformats.org/officeDocument/2006/relationships/image" Target="media/image132.png"/><Relationship Id="rId197" Type="http://schemas.openxmlformats.org/officeDocument/2006/relationships/image" Target="media/image133.png"/><Relationship Id="rId198" Type="http://schemas.openxmlformats.org/officeDocument/2006/relationships/image" Target="media/image134.png"/><Relationship Id="rId199" Type="http://schemas.openxmlformats.org/officeDocument/2006/relationships/image" Target="media/image135.png"/><Relationship Id="rId200" Type="http://schemas.openxmlformats.org/officeDocument/2006/relationships/image" Target="media/image136.png"/><Relationship Id="rId201" Type="http://schemas.openxmlformats.org/officeDocument/2006/relationships/image" Target="media/image137.png"/><Relationship Id="rId202" Type="http://schemas.openxmlformats.org/officeDocument/2006/relationships/image" Target="media/image138.png"/><Relationship Id="rId203" Type="http://schemas.openxmlformats.org/officeDocument/2006/relationships/image" Target="media/image139.png"/><Relationship Id="rId204" Type="http://schemas.openxmlformats.org/officeDocument/2006/relationships/image" Target="media/image140.png"/><Relationship Id="rId205" Type="http://schemas.openxmlformats.org/officeDocument/2006/relationships/image" Target="media/image141.png"/><Relationship Id="rId206" Type="http://schemas.openxmlformats.org/officeDocument/2006/relationships/image" Target="media/image142.png"/><Relationship Id="rId207" Type="http://schemas.openxmlformats.org/officeDocument/2006/relationships/image" Target="media/image143.png"/><Relationship Id="rId208" Type="http://schemas.openxmlformats.org/officeDocument/2006/relationships/image" Target="media/image144.png"/><Relationship Id="rId209" Type="http://schemas.openxmlformats.org/officeDocument/2006/relationships/image" Target="media/image145.png"/><Relationship Id="rId210" Type="http://schemas.openxmlformats.org/officeDocument/2006/relationships/image" Target="media/image146.png"/><Relationship Id="rId211" Type="http://schemas.openxmlformats.org/officeDocument/2006/relationships/image" Target="media/image147.png"/><Relationship Id="rId212" Type="http://schemas.openxmlformats.org/officeDocument/2006/relationships/image" Target="media/image148.png"/><Relationship Id="rId129" Type="http://schemas.openxmlformats.org/officeDocument/2006/relationships/hyperlink" Target="https://www.sec.gov/Archives/edgar/data/0000106040/000095013706001502/a17011exv3w1.htm" TargetMode="External"/><Relationship Id="rId130" Type="http://schemas.openxmlformats.org/officeDocument/2006/relationships/hyperlink" Target="https://www.sec.gov/Archives/edgar/data/0000106040/000119312523020502/d425756dex31.htm" TargetMode="External"/><Relationship Id="rId131" Type="http://schemas.openxmlformats.org/officeDocument/2006/relationships/hyperlink" Target="https://www.sec.gov/Archives/edgar/data/0000106040/000119312521041457/d128208dex31.htm" TargetMode="External"/><Relationship Id="rId132" Type="http://schemas.openxmlformats.org/officeDocument/2006/relationships/hyperlink" Target="https://www.sec.gov/Archives/edgar/data/106040/000010604021000040/wdc-2021q4ex41.htm" TargetMode="External"/><Relationship Id="rId133" Type="http://schemas.openxmlformats.org/officeDocument/2006/relationships/hyperlink" Target="https://www.sec.gov/Archives/edgar/data/106040/000119312518042423/d538323dex41.htm" TargetMode="External"/><Relationship Id="rId134" Type="http://schemas.openxmlformats.org/officeDocument/2006/relationships/hyperlink" Target="https://www.sec.gov/Archives/edgar/data/106040/000119312523171211/d447413dex108.htm" TargetMode="External"/><Relationship Id="rId135" Type="http://schemas.openxmlformats.org/officeDocument/2006/relationships/hyperlink" Target="https://www.sec.gov/Archives/edgar/data/106040/000119312518042423/d538323dex42.htm" TargetMode="External"/><Relationship Id="rId136" Type="http://schemas.openxmlformats.org/officeDocument/2006/relationships/hyperlink" Target="https://www.sec.gov/Archives/edgar/data/0000106040/000119312522187239/d257590dex41.htm" TargetMode="External"/><Relationship Id="rId137" Type="http://schemas.openxmlformats.org/officeDocument/2006/relationships/hyperlink" Target="https://www.sec.gov/Archives/edgar/data/0000106040/000119312521353971/d253588dex41.htm" TargetMode="External"/><Relationship Id="rId138" Type="http://schemas.openxmlformats.org/officeDocument/2006/relationships/hyperlink" Target="https://www.sec.gov/Archives/edgar/data/0000106040/000119312521353971/d253588dex42.htm" TargetMode="External"/><Relationship Id="rId139" Type="http://schemas.openxmlformats.org/officeDocument/2006/relationships/hyperlink" Target="https://www.sec.gov/Archives/edgar/data/0000106040/000010604021000011/wdc-2021q2ex101.htm" TargetMode="External"/><Relationship Id="rId140" Type="http://schemas.openxmlformats.org/officeDocument/2006/relationships/hyperlink" Target="https://www.sec.gov/Archives/edgar/data/106040/000010604021000011/wdc-2021q2ex102.htm" TargetMode="External"/><Relationship Id="rId141" Type="http://schemas.openxmlformats.org/officeDocument/2006/relationships/hyperlink" Target="https://www.sec.gov/Archives/edgar/data/106040/000010604021000053/wdc-2022q1ex101.htm" TargetMode="External"/><Relationship Id="rId142" Type="http://schemas.openxmlformats.org/officeDocument/2006/relationships/hyperlink" Target="https://www.sec.gov/Archives/edgar/data/106040/000010604021000053/wdc-2022q1ex102.htm" TargetMode="External"/><Relationship Id="rId143" Type="http://schemas.openxmlformats.org/officeDocument/2006/relationships/hyperlink" Target="https://www.sec.gov/Archives/edgar/data/106040/000010604021000053/wdc-2022q1ex104.htm" TargetMode="External"/><Relationship Id="rId144" Type="http://schemas.openxmlformats.org/officeDocument/2006/relationships/hyperlink" Target="https://www.sec.gov/Archives/edgar/data/106040/000010604018000034/wdc-2019q1ex103.htm" TargetMode="External"/><Relationship Id="rId145" Type="http://schemas.openxmlformats.org/officeDocument/2006/relationships/hyperlink" Target="https://www.sec.gov/Archives/edgar/data/106040/000010604019000075/wdc-2020q1ex103.htm" TargetMode="External"/><Relationship Id="rId148" Type="http://schemas.openxmlformats.org/officeDocument/2006/relationships/hyperlink" Target="https://www.sec.gov/Archives/edgar/data/106040/000010604021000011/wdc-2021q2ex104.htm" TargetMode="External"/><Relationship Id="rId149" Type="http://schemas.openxmlformats.org/officeDocument/2006/relationships/hyperlink" Target="https://www.sec.gov/Archives/edgar/data/0000106040/000010604018000034/wdc-2019q1ex103.htm" TargetMode="External"/><Relationship Id="rId150" Type="http://schemas.openxmlformats.org/officeDocument/2006/relationships/hyperlink" Target="https://www.sec.gov/Archives/edgar/data/106040/000119312522288992/d407769dex101.htm" TargetMode="External"/><Relationship Id="rId151" Type="http://schemas.openxmlformats.org/officeDocument/2006/relationships/hyperlink" Target="https://www.sec.gov/Archives/edgar/data/106040/000010604021000024/wdc-2021q3ex101.htm" TargetMode="External"/><Relationship Id="rId152" Type="http://schemas.openxmlformats.org/officeDocument/2006/relationships/hyperlink" Target="https://www.sec.gov/Archives/edgar/data/106040/000119312522288992/d407769dex102.htm" TargetMode="External"/><Relationship Id="rId153" Type="http://schemas.openxmlformats.org/officeDocument/2006/relationships/hyperlink" Target="https://www.sec.gov/Archives/edgar/data/106040/000119312512449441/d419625dex104.htm" TargetMode="External"/><Relationship Id="rId154" Type="http://schemas.openxmlformats.org/officeDocument/2006/relationships/hyperlink" Target="https://www.sec.gov/Archives/edgar/data/0000106040/000010604021000040/wdc-2021q4ex106.htm" TargetMode="External"/><Relationship Id="rId155" Type="http://schemas.openxmlformats.org/officeDocument/2006/relationships/hyperlink" Target="https://www.sec.gov/Archives/edgar/data/0000106040/000010604021000040/wdc-2021q4ex107.htm" TargetMode="External"/><Relationship Id="rId156" Type="http://schemas.openxmlformats.org/officeDocument/2006/relationships/hyperlink" Target="https://www.sec.gov/Archives/edgar/data/106040/000089256902002190/a85682exv10w4.txt" TargetMode="External"/><Relationship Id="rId157" Type="http://schemas.openxmlformats.org/officeDocument/2006/relationships/hyperlink" Target="https://www.sec.gov/Archives/edgar/data/106040/000089256902002190/a85682exv10w5.txt" TargetMode="External"/><Relationship Id="rId158" Type="http://schemas.openxmlformats.org/officeDocument/2006/relationships/hyperlink" Target="https://www.sec.gov/Archives/edgar/data/106040/000010604018000029/wdc-2018q4ex1010.htm" TargetMode="External"/><Relationship Id="rId159" Type="http://schemas.openxmlformats.org/officeDocument/2006/relationships/hyperlink" Target="https://www.sec.gov/Archives/edgar/data/106040/000010604020000024/wdc-2020q3ex101.htm" TargetMode="External"/><Relationship Id="rId160" Type="http://schemas.openxmlformats.org/officeDocument/2006/relationships/hyperlink" Target="https://www.sec.gov/Archives/edgar/data/106040/000010604022000040/wdc-2022q3ex101.htm" TargetMode="External"/><Relationship Id="rId161" Type="http://schemas.openxmlformats.org/officeDocument/2006/relationships/hyperlink" Target="https://www.sec.gov/Archives/edgar/data/106040/000119312523020502/d425756dex104.htm" TargetMode="External"/><Relationship Id="rId162" Type="http://schemas.openxmlformats.org/officeDocument/2006/relationships/hyperlink" Target="https://www.sec.gov/Archives/edgar/data/106040/000010604023000017/wdc-2023q3ex101.htm" TargetMode="External"/><Relationship Id="rId163" Type="http://schemas.openxmlformats.org/officeDocument/2006/relationships/hyperlink" Target="https://www.sec.gov/Archives/edgar/data/106040/000010604023000017/wdc-2023q3ex102.htm" TargetMode="External"/><Relationship Id="rId165" Type="http://schemas.openxmlformats.org/officeDocument/2006/relationships/hyperlink" Target="https://www.sec.gov/Archives/edgar/data/106040/000119312523020502/d425756dex103.htm" TargetMode="External"/><Relationship Id="rId166" Type="http://schemas.openxmlformats.org/officeDocument/2006/relationships/hyperlink" Target="https://www.sec.gov/Archives/edgar/data/106040/000010604022000040/wdc-2022q3ex102.htm" TargetMode="External"/><Relationship Id="rId167" Type="http://schemas.openxmlformats.org/officeDocument/2006/relationships/hyperlink" Target="https://www.sec.gov/Archives/edgar/data/106040/000119312522311796/d438737dex101.htm" TargetMode="External"/><Relationship Id="rId168" Type="http://schemas.openxmlformats.org/officeDocument/2006/relationships/hyperlink" Target="https://www.sec.gov/Archives/edgar/data/106040/000119312523171211/d447413dex101.htm" TargetMode="External"/><Relationship Id="rId169" Type="http://schemas.openxmlformats.org/officeDocument/2006/relationships/hyperlink" Target="https://www.sec.gov/Archives/edgar/data/106040/000010604023000006/wdc-2023q2ex101.htm" TargetMode="External"/><Relationship Id="rId170" Type="http://schemas.openxmlformats.org/officeDocument/2006/relationships/hyperlink" Target="https://www.sec.gov/Archives/edgar/data/106040/000119312523171211/d447413dex102.htm" TargetMode="External"/><Relationship Id="rId171" Type="http://schemas.openxmlformats.org/officeDocument/2006/relationships/hyperlink" Target="https://www.sec.gov/Archives/edgar/data/106040/000119312523171211/d447413dex103.htm" TargetMode="External"/><Relationship Id="rId172" Type="http://schemas.openxmlformats.org/officeDocument/2006/relationships/hyperlink" Target="https://www.sec.gov/Archives/edgar/data/106040/000119312523171211/d447413dex104.htm" TargetMode="External"/><Relationship Id="rId173" Type="http://schemas.openxmlformats.org/officeDocument/2006/relationships/hyperlink" Target="https://www.sec.gov/Archives/edgar/data/106040/000119312523171211/d447413dex105.htm" TargetMode="External"/><Relationship Id="rId174" Type="http://schemas.openxmlformats.org/officeDocument/2006/relationships/hyperlink" Target="https://www.sec.gov/Archives/edgar/data/106040/000119312523171211/d447413dex106.htm" TargetMode="External"/><Relationship Id="rId175" Type="http://schemas.openxmlformats.org/officeDocument/2006/relationships/hyperlink" Target="https://www.sec.gov/Archives/edgar/data/106040/000119312523171211/d447413dex107.htm" TargetMode="External"/><Relationship Id="rId176" Type="http://schemas.openxmlformats.org/officeDocument/2006/relationships/hyperlink" Target="https://www.sec.gov/Archives/edgar/data/106040/000010604022000018/wdc-2022q2ex106.htm" TargetMode="External"/><Relationship Id="rId177" Type="http://schemas.openxmlformats.org/officeDocument/2006/relationships/hyperlink" Target="https://www.sec.gov/Archives/edgar/data/106040/000010604022000018/wdc-2022q2ex107.htm" TargetMode="External"/><Relationship Id="rId178" Type="http://schemas.openxmlformats.org/officeDocument/2006/relationships/hyperlink" Target="https://www.sec.gov/Archives/edgar/data/1000180/000100018009000020/ex10_1.htm" TargetMode="External"/><Relationship Id="rId179" Type="http://schemas.openxmlformats.org/officeDocument/2006/relationships/hyperlink" Target="https://www.sec.gov/Archives/edgar/data/1000180/000100018016000068/sndkex-1037xnewy2facilitya.htm" TargetMode="External"/><Relationship Id="rId180" Type="http://schemas.openxmlformats.org/officeDocument/2006/relationships/hyperlink" Target="https://www.sec.gov/Archives/edgar/data/106040/000010604018000010/wdc-2018q2ex106.htm" TargetMode="External"/><Relationship Id="rId181" Type="http://schemas.openxmlformats.org/officeDocument/2006/relationships/hyperlink" Target="https://www.sec.gov/Archives/edgar/data/106040/000010604018000010/wdc-2018q2ex107.htm" TargetMode="External"/><Relationship Id="rId183" Type="http://schemas.openxmlformats.org/officeDocument/2006/relationships/hyperlink" Target="https://www.sec.gov/Archives/edgar/data/106040/000010604019000058/wdc-2019q4ex1022.htm" TargetMode="External"/><Relationship Id="rId184" Type="http://schemas.openxmlformats.org/officeDocument/2006/relationships/hyperlink" Target="https://www.sec.gov/Archives/edgar/data/106040/000010604018000010/wdc-2018q2ex108.htm" TargetMode="External"/><Relationship Id="rId185" Type="http://schemas.openxmlformats.org/officeDocument/2006/relationships/hyperlink" Target="https://www.sec.gov/Archives/edgar/data/0000106040/000010604018000010/wdc-2018q2ex109.htm" TargetMode="External"/><Relationship Id="rId186" Type="http://schemas.openxmlformats.org/officeDocument/2006/relationships/hyperlink" Target="https://www.sec.gov/Archives/edgar/data/106040/000010604022000055/wdc-2022q4ex1026.htm" TargetMode="External"/><Relationship Id="rId187" Type="http://schemas.openxmlformats.org/officeDocument/2006/relationships/hyperlink" Target="https://www.sec.gov/Archives/edgar/data/106040/000010604022000055/wdc-2022q4ex1027.htm" TargetMode="External"/><Relationship Id="rId188" Type="http://schemas.openxmlformats.org/officeDocument/2006/relationships/hyperlink" Target="https://www.sec.gov/Archives/edgar/data/106040/000010604022000055/wdc-2022q4ex1028.htm" TargetMode="External"/><Relationship Id="rId189" Type="http://schemas.openxmlformats.org/officeDocument/2006/relationships/hyperlink" Target="https://www.sec.gov/Archives/edgar/data/106040/000010604022000055/wdc-2022q4ex10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2023-08-22T05:30:16Z</dcterms:created>
  <dcterms:modified xsi:type="dcterms:W3CDTF">2023-08-22T05:30:16Z</dcterms:modified>
</cp:coreProperties>
</file>