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quarterly period ended January 2, 2026</w:t>
      </w:r>
    </w:p>
    <w:p>
      <w:pPr>
        <w:spacing w:after="0" w:line="1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75"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167640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390525</wp:posOffset>
            </wp:positionV>
            <wp:extent cx="2957195" cy="99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2"/>
          <w:szCs w:val="42"/>
          <w:b w:val="1"/>
          <w:bCs w:val="1"/>
          <w:color w:val="auto"/>
        </w:rPr>
        <w:t>WESTERN DIGITAL CORPORATION</w:t>
      </w:r>
    </w:p>
    <w:p>
      <w:pPr>
        <w:sectPr>
          <w:pgSz w:w="11900" w:h="16838" w:orient="portrait"/>
          <w:cols w:equalWidth="0" w:num="1">
            <w:col w:w="11140"/>
          </w:cols>
          <w:pgMar w:left="320" w:top="1037" w:right="43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jc w:val="center"/>
        <w:ind w:left="14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0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7" w:lineRule="exact"/>
        <w:rPr>
          <w:sz w:val="24"/>
          <w:szCs w:val="24"/>
          <w:color w:val="auto"/>
        </w:rPr>
      </w:pPr>
    </w:p>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33-0956711</w:t>
      </w:r>
    </w:p>
    <w:p>
      <w:pPr>
        <w:spacing w:after="0" w:line="163" w:lineRule="exact"/>
        <w:rPr>
          <w:sz w:val="24"/>
          <w:szCs w:val="24"/>
          <w:color w:val="auto"/>
        </w:rPr>
      </w:pPr>
    </w:p>
    <w:p>
      <w:pPr>
        <w:jc w:val="right"/>
        <w:ind w:right="150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40" w:space="720"/>
            <w:col w:w="6880"/>
          </w:cols>
          <w:pgMar w:left="320" w:top="1037" w:right="439" w:bottom="1440" w:gutter="0" w:footer="0" w:header="0"/>
          <w:type w:val="continuous"/>
        </w:sectPr>
      </w:pPr>
    </w:p>
    <w:p>
      <w:pPr>
        <w:ind w:left="780"/>
        <w:spacing w:after="0"/>
        <w:tabs>
          <w:tab w:leader="none" w:pos="2800" w:val="left"/>
          <w:tab w:leader="none" w:pos="3640" w:val="left"/>
          <w:tab w:leader="none" w:pos="8560" w:val="left"/>
        </w:tabs>
        <w:rPr>
          <w:sz w:val="20"/>
          <w:szCs w:val="20"/>
          <w:color w:val="auto"/>
        </w:rPr>
      </w:pPr>
      <w:r>
        <w:rPr>
          <w:rFonts w:ascii="Times New Roman" w:cs="Times New Roman" w:eastAsia="Times New Roman" w:hAnsi="Times New Roman"/>
          <w:sz w:val="14"/>
          <w:szCs w:val="14"/>
          <w:b w:val="1"/>
          <w:bCs w:val="1"/>
          <w:color w:val="auto"/>
        </w:rPr>
        <w:t>5601 Great Oaks Parkway,</w:t>
      </w:r>
      <w:r>
        <w:rPr>
          <w:sz w:val="20"/>
          <w:szCs w:val="20"/>
          <w:color w:val="auto"/>
        </w:rPr>
        <w:tab/>
      </w:r>
      <w:r>
        <w:rPr>
          <w:rFonts w:ascii="Times New Roman" w:cs="Times New Roman" w:eastAsia="Times New Roman" w:hAnsi="Times New Roman"/>
          <w:sz w:val="14"/>
          <w:szCs w:val="14"/>
          <w:b w:val="1"/>
          <w:bCs w:val="1"/>
          <w:color w:val="auto"/>
        </w:rPr>
        <w:t>San Jose,</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3"/>
          <w:szCs w:val="13"/>
          <w:b w:val="1"/>
          <w:bCs w:val="1"/>
          <w:color w:val="auto"/>
        </w:rPr>
        <w:t>95119</w:t>
      </w:r>
    </w:p>
    <w:p>
      <w:pPr>
        <w:spacing w:after="0" w:line="46" w:lineRule="exact"/>
        <w:rPr>
          <w:sz w:val="24"/>
          <w:szCs w:val="24"/>
          <w:color w:val="auto"/>
        </w:rPr>
      </w:pPr>
    </w:p>
    <w:p>
      <w:pPr>
        <w:ind w:left="1500"/>
        <w:spacing w:after="0"/>
        <w:tabs>
          <w:tab w:leader="none" w:pos="846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2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3"/>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99"/>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Pr>
          <w:p>
            <w:pPr>
              <w:spacing w:after="0"/>
              <w:rPr>
                <w:sz w:val="17"/>
                <w:szCs w:val="17"/>
                <w:color w:val="auto"/>
              </w:rPr>
            </w:pPr>
          </w:p>
        </w:tc>
      </w:tr>
    </w:tbl>
    <w:p>
      <w:pPr>
        <w:spacing w:after="0" w:line="234" w:lineRule="exact"/>
        <w:rPr>
          <w:sz w:val="24"/>
          <w:szCs w:val="24"/>
          <w:color w:val="auto"/>
        </w:rPr>
      </w:pPr>
    </w:p>
    <w:p>
      <w:pPr>
        <w:ind w:right="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7" w:right="439" w:bottom="1440" w:gutter="0" w:footer="0" w:header="0"/>
          <w:type w:val="continuous"/>
        </w:sectPr>
      </w:pPr>
    </w:p>
    <w:bookmarkStart w:id="1" w:name="page2"/>
    <w:bookmarkEnd w:id="1"/>
    <w:p>
      <w:pPr>
        <w:ind w:right="80"/>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880"/>
          </w:cols>
          <w:pgMar w:left="320" w:top="1048" w:right="699" w:bottom="1440" w:gutter="0" w:footer="0" w:header="0"/>
        </w:sectPr>
      </w:pP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0"/>
          <w:szCs w:val="20"/>
          <w:color w:val="auto"/>
        </w:rPr>
      </w:pPr>
    </w:p>
    <w:p>
      <w:pPr>
        <w:sectPr>
          <w:pgSz w:w="11900" w:h="16838" w:orient="portrait"/>
          <w:cols w:equalWidth="0" w:num="5">
            <w:col w:w="2140" w:space="720"/>
            <w:col w:w="1400" w:space="720"/>
            <w:col w:w="1340" w:space="720"/>
            <w:col w:w="1580" w:space="680"/>
            <w:col w:w="1580"/>
          </w:cols>
          <w:pgMar w:left="320" w:top="1048" w:right="69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860"/>
          </w:cols>
          <w:pgMar w:left="320" w:top="1048" w:right="699" w:bottom="1440" w:gutter="0" w:footer="0" w:header="0"/>
          <w:type w:val="continuous"/>
        </w:sectPr>
      </w:pPr>
    </w:p>
    <w:p>
      <w:pPr>
        <w:spacing w:after="0" w:line="106" w:lineRule="exact"/>
        <w:rPr>
          <w:sz w:val="20"/>
          <w:szCs w:val="20"/>
          <w:color w:val="auto"/>
        </w:rPr>
      </w:pPr>
    </w:p>
    <w:p>
      <w:pPr>
        <w:ind w:right="2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close of business on January 22, 2026, 339,037,922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48" w:right="6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4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980" w:type="dxa"/>
            <w:vAlign w:val="bottom"/>
          </w:tcPr>
          <w:p>
            <w:pPr>
              <w:ind w:left="34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Financial Statements (unaudited)</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Balance Sheets — As of January 2, 2026 and June 27, 2025</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Operations — Three and Six Months Ended January 2, 2026 and December 27, 2024</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7</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Comprehensive Income — Three and Six Months Ended January 2, 2026 and December</w:t>
            </w:r>
          </w:p>
        </w:tc>
        <w:tc>
          <w:tcPr>
            <w:tcW w:w="680" w:type="dxa"/>
            <w:vAlign w:val="bottom"/>
            <w:gridSpan w:val="2"/>
            <w:vMerge w:val="restart"/>
          </w:tcPr>
          <w:p>
            <w:pPr>
              <w:spacing w:after="0"/>
              <w:rPr>
                <w:sz w:val="14"/>
                <w:szCs w:val="14"/>
                <w:color w:val="auto"/>
              </w:rPr>
            </w:pPr>
          </w:p>
        </w:tc>
        <w:tc>
          <w:tcPr>
            <w:tcW w:w="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color w:val="3635D6"/>
                <w:w w:val="99"/>
              </w:rPr>
              <w:t>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27, 2024</w:t>
            </w:r>
          </w:p>
        </w:tc>
        <w:tc>
          <w:tcPr>
            <w:tcW w:w="6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Cash Flows — Six Months Ended January 2, 2026 and December 27, 2024</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9</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Convertible Preferred Stock and Shareholders’ Equity — Six Months Ended January 2,</w:t>
            </w:r>
          </w:p>
        </w:tc>
        <w:tc>
          <w:tcPr>
            <w:tcW w:w="800" w:type="dxa"/>
            <w:vAlign w:val="bottom"/>
            <w:gridSpan w:val="4"/>
            <w:vMerge w:val="restart"/>
          </w:tcPr>
          <w:p>
            <w:pPr>
              <w:jc w:val="center"/>
              <w:ind w:left="559"/>
              <w:spacing w:after="0"/>
              <w:rPr>
                <w:sz w:val="20"/>
                <w:szCs w:val="20"/>
                <w:color w:val="auto"/>
              </w:rPr>
            </w:pPr>
            <w:r>
              <w:rPr>
                <w:rFonts w:ascii="Times New Roman" w:cs="Times New Roman" w:eastAsia="Times New Roman" w:hAnsi="Times New Roman"/>
                <w:sz w:val="16"/>
                <w:szCs w:val="16"/>
                <w:color w:val="3635D6"/>
                <w:w w:val="99"/>
              </w:rPr>
              <w:t>10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2026 and December 27, 2024</w:t>
            </w:r>
          </w:p>
        </w:tc>
        <w:tc>
          <w:tcPr>
            <w:tcW w:w="80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CCEEFF"/>
            </w:tcBorders>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Notes to Condensed Consolidated Financial Statements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12</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38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3.</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51</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4.</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Controls and Procedures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4"/>
        </w:trPr>
        <w:tc>
          <w:tcPr>
            <w:tcW w:w="820" w:type="dxa"/>
            <w:vAlign w:val="bottom"/>
          </w:tcPr>
          <w:p>
            <w:pPr>
              <w:spacing w:after="0"/>
              <w:rPr>
                <w:sz w:val="24"/>
                <w:szCs w:val="24"/>
                <w:color w:val="auto"/>
              </w:rPr>
            </w:pPr>
          </w:p>
        </w:tc>
        <w:tc>
          <w:tcPr>
            <w:tcW w:w="8980" w:type="dxa"/>
            <w:vAlign w:val="bottom"/>
          </w:tcPr>
          <w:p>
            <w:pPr>
              <w:ind w:left="356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tc>
        <w:tc>
          <w:tcPr>
            <w:tcW w:w="64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tcBorders>
              <w:bottom w:val="single" w:sz="8" w:color="CCEEFF"/>
            </w:tcBorders>
            <w:shd w:val="clear" w:color="auto" w:fill="CCEEFF"/>
          </w:tcPr>
          <w:p>
            <w:pPr>
              <w:ind w:left="200"/>
              <w:spacing w:after="0" w:line="178" w:lineRule="exact"/>
              <w:rPr>
                <w:sz w:val="20"/>
                <w:szCs w:val="20"/>
                <w:color w:val="auto"/>
              </w:rPr>
            </w:pPr>
            <w:r>
              <w:rPr>
                <w:rFonts w:ascii="Times New Roman" w:cs="Times New Roman" w:eastAsia="Times New Roman" w:hAnsi="Times New Roman"/>
                <w:sz w:val="16"/>
                <w:szCs w:val="16"/>
                <w:color w:val="auto"/>
              </w:rPr>
              <w:t>Legal Proceedings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3635D6"/>
                <w:w w:val="99"/>
              </w:rPr>
              <w:t>52</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1A.</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Risk Factors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52</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52</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5.</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Other Information</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52</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6.</w:t>
            </w:r>
          </w:p>
        </w:tc>
        <w:tc>
          <w:tcPr>
            <w:tcW w:w="898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Exhibits</w:t>
            </w:r>
          </w:p>
        </w:tc>
        <w:tc>
          <w:tcPr>
            <w:tcW w:w="800" w:type="dxa"/>
            <w:vAlign w:val="bottom"/>
            <w:gridSpan w:val="4"/>
            <w:shd w:val="clear" w:color="auto" w:fill="CCEEFF"/>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53</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Western Digital, the Western Digital logo and WD are registered trademarks or trademarks of Western Digital or its affiliates in the United States (“U.S.”) and other countries. All other trademarks, registered trademarks and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our expectations regarding the completed separation of our hard disk drives (“HDD”) and flash-based products (“Flash”) business units (the “Separation”); the impact of the global macroeconomic environment, including tariffs; expectations regarding demand trends and market conditions for our products; expectations regarding our tax resolutions, effective tax rate and unrecognized tax benefits; expectations regarding the merits of our positions and plans with respect to certain litigation matters; statements regarding our quarterly dividend program; and our beliefs regarding our capital allocation plans and the sufficiency of our available liquidity to meet our working capital, debt and capital expenditure needs.</w:t>
      </w:r>
    </w:p>
    <w:p>
      <w:pPr>
        <w:spacing w:after="0" w:line="212" w:lineRule="exact"/>
        <w:rPr>
          <w:sz w:val="20"/>
          <w:szCs w:val="20"/>
          <w:color w:val="auto"/>
        </w:rPr>
      </w:pPr>
    </w:p>
    <w:p>
      <w:pPr>
        <w:jc w:val="both"/>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on management’s current expectations, represent the most current information available to us as of the date of this Quarterly Report on Form 10-Q and are subject to a number of risks, uncertainties and other factors that could cause actual results or performance to differ materially from those expressed or implied in the forward-looking statements. These risks and uncertainties include, but are not limited to:</w:t>
      </w:r>
    </w:p>
    <w:p>
      <w:pPr>
        <w:spacing w:after="0" w:line="18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global or regional economic and social conditions;</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U.S. trade policy and the impact of tariffs or trade restrictions, and our responsive actions thereto;</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dependence on a limited number of suppliers or disruptions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the completed Separation of Sandisk, our former Flash business, into an independent public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business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hiring and retention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defects;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strategic relationships with key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competitive environment, including actions by our competitors and the impact of competitive products and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respond to market and other changes in our distribution channel and retail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level of debt and other financial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or unanticipated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currency exchange rates in connection with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decisions to reduce or discontinue paying cash dividends;</w:t>
      </w:r>
    </w:p>
    <w:p>
      <w:pPr>
        <w:spacing w:after="0" w:line="9" w:lineRule="exact"/>
        <w:rPr>
          <w:rFonts w:ascii="Times New Roman" w:cs="Times New Roman" w:eastAsia="Times New Roman" w:hAnsi="Times New Roman"/>
          <w:sz w:val="18"/>
          <w:szCs w:val="18"/>
          <w:i w:val="1"/>
          <w:iCs w:val="1"/>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our goals relating to sustainability matters, including our ability to meet our greenhouse gas emissions reduction and other sustainability goals;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intellectual property and other proprietary information; and</w:t>
      </w:r>
    </w:p>
    <w:p>
      <w:pPr>
        <w:spacing w:after="0" w:line="9"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year ended June 27, 2025 (our “2025 Annual Report on Form 10-K”), as amended, supplemented or superseded in our other reports filed with the Securities and Exchange Commission (“SEC”), including under “Risk Factors” in Item 1A of our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2025 Annual Report on Form 10-K and any of those made in our other reports filed with the SEC, including under “Risk Factors” in Item 1A of subsequent Annual Reports on Form 10-K and Quarterly Reports on Form 10-Q that may from time to time amend, supplement or supersede the risks and uncertainties disclosed in our 2025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80" w:type="dxa"/>
            <w:vAlign w:val="bottom"/>
          </w:tcPr>
          <w:p>
            <w:pPr>
              <w:spacing w:after="0"/>
              <w:rPr>
                <w:sz w:val="13"/>
                <w:szCs w:val="13"/>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7"/>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0" w:type="dxa"/>
            <w:vAlign w:val="bottom"/>
          </w:tcPr>
          <w:p>
            <w:pPr>
              <w:spacing w:after="0"/>
              <w:rPr>
                <w:sz w:val="1"/>
                <w:szCs w:val="1"/>
                <w:color w:val="auto"/>
              </w:rPr>
            </w:pPr>
          </w:p>
        </w:tc>
      </w:tr>
      <w:tr>
        <w:trPr>
          <w:trHeight w:val="207"/>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SHAREHOLDERS’</w:t>
            </w:r>
          </w:p>
        </w:tc>
        <w:tc>
          <w:tcPr>
            <w:tcW w:w="15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07"/>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8 and 14)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Convertible preferred stock, $0.01 par value; authorized — 5 shares; issued and outstanding — 0.2 shares as of both January</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 2026 and June 27, 2025; aggregate liquidation preference of $265 as of both January 2, 2026 and June 27, 2025</w:t>
            </w: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authorized — 750 shares; issued — 349 shares as of both January 2, 2026 and June 27,</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issued and outstanding — 340 shares and 347 shares as of January 2, 2026 and June 27, 2025, respectively</w:t>
            </w: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 common shares at cost; 9 shares and 2 shares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0" w:type="dxa"/>
            <w:vAlign w:val="bottom"/>
          </w:tcPr>
          <w:p>
            <w:pPr>
              <w:spacing w:after="0"/>
              <w:rPr>
                <w:sz w:val="1"/>
                <w:szCs w:val="1"/>
                <w:color w:val="auto"/>
              </w:rPr>
            </w:pPr>
          </w:p>
        </w:tc>
      </w:tr>
      <w:tr>
        <w:trPr>
          <w:trHeight w:val="235"/>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720" w:type="dxa"/>
            <w:vAlign w:val="bottom"/>
            <w:gridSpan w:val="4"/>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5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r>
      <w:tr>
        <w:trPr>
          <w:trHeight w:val="21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retained interest in Sandisk</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discontinued operations, net of taxes</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3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72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unrealized gain (loss) on derivative contracts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62"/>
        </w:trPr>
        <w:tc>
          <w:tcPr>
            <w:tcW w:w="5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before tax</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Pr>
          <w:p>
            <w:pPr>
              <w:spacing w:after="0"/>
              <w:rPr>
                <w:sz w:val="11"/>
                <w:szCs w:val="11"/>
                <w:color w:val="auto"/>
              </w:rPr>
            </w:pPr>
          </w:p>
        </w:tc>
        <w:tc>
          <w:tcPr>
            <w:tcW w:w="124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operations: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retained interest in Sandisk</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business divestiture</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from Flash Ventures</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to common shareholders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preferred shareholders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debt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2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740" w:type="dxa"/>
            <w:vAlign w:val="bottom"/>
          </w:tcPr>
          <w:p>
            <w:pPr>
              <w:spacing w:after="0"/>
              <w:rPr>
                <w:sz w:val="18"/>
                <w:szCs w:val="18"/>
                <w:color w:val="auto"/>
              </w:rPr>
            </w:pPr>
          </w:p>
        </w:tc>
        <w:tc>
          <w:tcPr>
            <w:tcW w:w="16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52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8"/>
                <w:szCs w:val="18"/>
                <w:color w:val="auto"/>
              </w:rPr>
            </w:pPr>
          </w:p>
        </w:tc>
        <w:tc>
          <w:tcPr>
            <w:tcW w:w="152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520" w:type="dxa"/>
            <w:vAlign w:val="bottom"/>
            <w:gridSpan w:val="4"/>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86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04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27,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Repurchases of common</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9"/>
        </w:trPr>
        <w:tc>
          <w:tcPr>
            <w:tcW w:w="1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derivative contracts, net of</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3,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Repurchases of common</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9"/>
        </w:trPr>
        <w:tc>
          <w:tcPr>
            <w:tcW w:w="1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gain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derivative contracts, net of</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 2026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10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28,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27,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27,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based on hard disk drives (“HDD”) technologies.</w:t>
      </w:r>
    </w:p>
    <w:p>
      <w:pPr>
        <w:spacing w:after="0" w:line="18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globally through its sales personnel, dealers, distributors, retailers, and subsidiaries. Its extensive portfolio of technology and products addresses the following key end markets: Cloud, Client, and Consumer. Cloud is comprised primarily of products for public or private cloud environments and enterprise customers. Through the Client end market, the Company provides its original equipment manufacturer (“OEM”) and channel customers a broad array of high-performance HDD solutions across desktop and notebooks. The Consumer end market provides a wide range of retail and other end-user products, which capitalize on the strength of the Company’s product brand recognition and vast presence around the world.</w:t>
      </w:r>
    </w:p>
    <w:p>
      <w:pPr>
        <w:spacing w:after="0" w:line="20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27, 2025 (the “2025 Annual Report on Form 10-K”). In the opinion of management, all adjustments necessary to fairly state the Condensed Consolidated Financial Statements prepared in accordance with accounting principles generally accepted in the United States (“U.S. GAAP”) have been made. Such adjustments consist of items of a normal, recurring nature. Certain information and disclosures normally included in the Consolidated Financial Statements have been condensed or omitted pursuant to the rules and regulations of the Securities and Exchange Commission (“SEC”). These Condensed Consolidated Financial Statements should be read in conjunction with the Consolidated Financial Statements and the notes thereto included in the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results of operations for interim periods are not necessarily indicative of results to be expected for the full year.</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Information provided herein for the three and six months ended December 27, 2024 is presented on a continuing operations basis to reflect the impact of the Separation of the Company’s Flash business as discussed in further detail in Note 4,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The Company’s fiscal year ends on the Friday nearest to June 30 and typically consists of 52 weeks. Approximately every five to six years, the Company reports a 53-week fiscal year to align the fiscal year with the foregoing policy. Fiscal year 2026, which will end on July 3, 2026, will be comprised of 53 weeks, with the first quarter consisting of 14 weeks and the remaining quarters consisting of 13 weeks each. Fiscal year 2025, which ended on June 27, 2025, was comprised of 52 weeks, with all quarters presented consisting of 13 weeks. Unless otherwise indicated, references herein to specific years and quarters are to fiscal years and fiscal quarters, and references to financial information are on a consolidated continuing operations basis.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the Company’s Chief Operating Decision Maker (“CODM”). The CODM manages the business as a provider of data storage devices based on HDD technology. The CODM evaluates the performance of the Company and makes decisions regarding the allocation of resources based on the Company’s Net income from continuing operations and Total assets. The Company has therefore determined that it has one reportable segment.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In December 2025, the Financial Accounting Standards Board (“FASB”) issued accounting standards update (“ASU”) No. 2025-10, “Government Grants (Topic 832): Accounting for Government Grants Received by Business Entities” (“ASU 2025-10”), which establishes guidance on the recognition, measurement, and presentation of government grants. The standard may be adopted using a full retrospective, modified retrospective, or modified prospective transition method. ASU 2025-10 is effective for the year beginning June 30, 2029, and interim periods within that year, with early adoption permitted. The Company is currently assessing the impact of this guidance on its condensed consolidated financial statements and related disclosures.</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(“ASU 2025-09”), which introduces targeted improvements to better align hedge accounting with entities’ risk management activities. ASU 2025-09 is effective for the year beginning July 3, 2027, and interim periods within that year, with early adoption permitted. The Company is currently assessing the impact of this guidance on its condensed consolidated financial statements and related disclosures.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2025-07, “Derivatives and Hedging (Topic 815) and Revenue from Contracts with Customers (Topic 606): Derivatives Scope Refinements and Scope Clarification for Share-Based Noncash Consideration from a Customer in a Revenue Contract” (“ASU 2025-07”), which (i) expands the scope exception of Topic 815 to exclude certain contracts with a variable that is based on operations or activities specific to one of the parties to the contract and (ii) clarifies the scope of share-based payments from a customer in a revenue contract. ASU 2025-07 is effective for the year beginning July 3, 2027, and interim periods within that year. Early adoption is permitted and must be applied as of the beginning of the fiscal year that includes the interim period. The Company currently does not expect this standard to have a material impact on its condensed consolidated financial statements and related disclosures.</w:t>
      </w:r>
    </w:p>
    <w:p>
      <w:pPr>
        <w:spacing w:after="0" w:line="2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(Topic 350): Targeted Improvements to the Accounting for Internal-Use Software” (“ASU 2025-06”). ASU 2025-06 amends existing references to prescriptive and sequential software development stages to better align with current software development methods, such as agile development. Under the new standard, entities will begin to capitalize eligible software costs when (i) management has authorized and committed to funding the software project, and (ii) it is probable that the project will be completed and the software will be used to perform the function intended. ASU 2025-06 is effective for the year beginning July 1, 2028, and interim periods within that year, with early adoption permitted. The Company is currently assessing the impact of this standard on its condensed consolidated financial statements and related disclosures.</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which is intended to improve disclosures about the expenses of public entities. The new guidance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with early adoption permitted. The Company is currently compiling the information required for these disclosures and assessing the basis of adoption and expects to adopt the guidance for annual reporting periods in its annual report for the year ending June 30,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80" w:right="262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calls for enhanced income tax disclosure requirements surrounding the tabular rate reconciliation and income taxes paid. This standard is effective on either a prospective or retrospective basis. These incremental disclosures will be required beginning with the Company’s financial statements for the year ending July 3, 2026. The Company is currently compiling the information required for these disclosures and expects to provide any required disclosures in its annual report for the year ending July 3, 2026.</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Disaggregated Revenue, Geographic Information, Concentrations of Risk, and Segment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2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15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15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1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1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3"/>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3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5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 by geography</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13"/>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35"/>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1540" w:type="dxa"/>
            <w:vAlign w:val="bottom"/>
            <w:tcBorders>
              <w:bottom w:val="single" w:sz="8" w:color="auto"/>
            </w:tcBorders>
          </w:tcPr>
          <w:p>
            <w:pPr>
              <w:spacing w:after="0"/>
              <w:rPr>
                <w:sz w:val="6"/>
                <w:szCs w:val="6"/>
                <w:color w:val="auto"/>
              </w:rPr>
            </w:pPr>
          </w:p>
        </w:tc>
        <w:tc>
          <w:tcPr>
            <w:tcW w:w="3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-1807845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-1807845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revenue is attributed to geographic regions based on the ship-to location of the customer.</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top 10 customers accounted for 76% and 77%, respectively, of its net revenue for the three and six months ended January 2, 2026, compared to 67% and 65%, respectively, of its net revenue for the three and six months ended December 27, 2024. For the three months ended January 2, 2026, three customers accounted for 15%, 14%, and 14%, respectively, of the Company’s net revenue, and for the six months ended January 2, 2026, three customers accounted for 17%, 15%, and 14%, respectively, of the Company’s net revenue. For the three months ended December 27, 2024, two customers accounted for 18% and 13%, respectively, of the Company’s net revenue, and for the six months ended December 27, 2024, two customers accounted for 18% and 11%, respectively, of the Company’s net revenue.</w:t>
      </w:r>
    </w:p>
    <w:p>
      <w:pPr>
        <w:spacing w:after="0" w:line="21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January 2, 2026 and June 27, 2025, net accounts receivable were $1.69 billion and $1.49 billion, respectively, and reserves for potential credit losses were not material. As of January 2, 2026, three customers accounted for 24%, 14%, and 14%, respectively, of the Company’s net accounts receivable, and as of June 27, 2025, three customers accounted for 20%, 19%, and 12%, respectively, of the Company’s net accounts receivable.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Company’s measure of segment profit or loss, significant segment expenses and other segment items: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14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14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14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14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ind w:left="9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Significant expenses and other segment items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520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r>
      <w:tr>
        <w:trPr>
          <w:trHeight w:val="216"/>
        </w:trPr>
        <w:tc>
          <w:tcPr>
            <w:tcW w:w="520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6"/>
        </w:trPr>
        <w:tc>
          <w:tcPr>
            <w:tcW w:w="520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Selling, general and administrative</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on retained interest in Sandisk</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520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3"/>
        </w:trPr>
        <w:tc>
          <w:tcPr>
            <w:tcW w:w="14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15"/>
        </w:trPr>
        <w:tc>
          <w:tcPr>
            <w:tcW w:w="142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-2185670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-2185670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related to stock-based compensation and other segment items which are presented separately in the table above.</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include activity from strategic investments and other charges.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Discontinued Operations</w:t>
      </w:r>
    </w:p>
    <w:p>
      <w:pPr>
        <w:spacing w:after="0" w:line="25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 October 30, 2023, the Company announced that its Board of Directors had completed its strategic review of the business and, after evaluating a comprehensive range of alternatives, authorized the Company to pursue a plan to separate its HDD and Flash business units to create two independent, public companies. In connection with the Separation (as defined below), the Company incurred separation and transition costs, which are recorded as Business separation costs within discontinued operations in the Company’s Condensed Consolidated Financial Statements, as further detailed in the summary of Net income from discontinued operations, net of taxes, below.</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February 21, 2025, the Company completed the separation of its Flash business (the “Separation”) through a pro rata distribution of 80.1% of the outstanding shares of Sandisk Corporation (“Sandisk”) to Western Digital stockholders. The Separation is intended to be tax-free for U.S. federal income tax purposes. To reflect the completion of the Separation, the Company recorded a decrease in shareholders’ equity for the net book value of applicable assets and liabilities derecognized in connection with the Separation, net of the Company’s retained ownership interest, which was initially 19.9% and was based on the net book value of the applicable assets and liabilities derecognized. As a result of the Separation, Sandisk became an independent public company and Western Digital no longer consolidates Sandisk into the Company’s financial results. The historical results of operations of Sandisk are now reported in the Company’s Condensed Consolidated Financial Statements as discontinued operations for all periods prior to the Separation on February 21, 2025. Following the Separation, as the Company no longer controls or has the ability to exert significant influence over Sandisk, the Company measures, at fair value on a recurring basis, its retained ownership interest in Sandisk common stock (see additional information in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Investments</w:t>
      </w:r>
      <w:r>
        <w:rPr>
          <w:rFonts w:ascii="Times New Roman" w:cs="Times New Roman" w:eastAsia="Times New Roman" w:hAnsi="Times New Roman"/>
          <w:sz w:val="18"/>
          <w:szCs w:val="18"/>
          <w:color w:val="auto"/>
        </w:rPr>
        <w:t>). In June 2025, the Company disposed of 21.3 million shares of Sandisk common stock, along with $4 million in cash, in a tax-free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$800 million principal amount of the Company’s Term Loan A-3 maturing in January 2027 (the “Term Loan A-3”). The Company expects to monetize its remaining stake in Sandisk to further reduce its debt within one year from the Separation date.</w:t>
      </w:r>
    </w:p>
    <w:p>
      <w:pPr>
        <w:spacing w:after="0" w:line="2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entered into various agreements to effect the Separation and provide for the temporary framework of the relationship between Western Digital and Sandisk following the Separation, including, among others, a separation and distribution agreement, a tax matters agreement, and a transition services agreement. The transition services agreement provides for transition service support to be provided for various periods of time ranging up to 15 months. The amounts involved under these agreements are not expected to be material.</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8"/>
          <w:szCs w:val="18"/>
          <w:color w:val="auto"/>
        </w:rPr>
        <w:t>The following table provides a summary of the historical results of Sandisk for the three and six months ended December 27, 2024 which have been reflected as Net income from discontinued operations, net of taxes in the Condensed Consolidated Statements of Operations:</w:t>
      </w: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Discontinued Operations, Net of Taxes</w:t>
            </w:r>
          </w:p>
        </w:tc>
        <w:tc>
          <w:tcPr>
            <w:tcW w:w="560" w:type="dxa"/>
            <w:vAlign w:val="bottom"/>
          </w:tcPr>
          <w:p>
            <w:pPr>
              <w:spacing w:after="0"/>
              <w:rPr>
                <w:sz w:val="11"/>
                <w:szCs w:val="11"/>
                <w:color w:val="auto"/>
              </w:rPr>
            </w:pPr>
          </w:p>
        </w:tc>
        <w:tc>
          <w:tcPr>
            <w:tcW w:w="2420" w:type="dxa"/>
            <w:vAlign w:val="bottom"/>
            <w:gridSpan w:val="4"/>
          </w:tcPr>
          <w:p>
            <w:pPr>
              <w:ind w:left="5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4"/>
          </w:tcPr>
          <w:p>
            <w:pPr>
              <w:jc w:val="right"/>
              <w:ind w:right="10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56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0" w:type="dxa"/>
            <w:vAlign w:val="bottom"/>
          </w:tcPr>
          <w:p>
            <w:pPr>
              <w:spacing w:after="0"/>
              <w:rPr>
                <w:sz w:val="1"/>
                <w:szCs w:val="1"/>
                <w:color w:val="auto"/>
              </w:rPr>
            </w:pP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560" w:type="dxa"/>
            <w:vAlign w:val="bottom"/>
          </w:tcPr>
          <w:p>
            <w:pPr>
              <w:spacing w:after="0"/>
              <w:rPr>
                <w:sz w:val="18"/>
                <w:szCs w:val="18"/>
                <w:color w:val="auto"/>
              </w:rPr>
            </w:pPr>
          </w:p>
        </w:tc>
        <w:tc>
          <w:tcPr>
            <w:tcW w:w="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discontinued operations, net of taxes</w:t>
            </w: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Cash flows related to discontinued operations have not been segregated and are included in the Condensed Consolidated Statements of Cash Flows for all periods presented. The following table provides selected financial information related to cash flows from discontinued operations:</w:t>
      </w:r>
    </w:p>
    <w:tbl>
      <w:tblPr>
        <w:tblLayout w:type="fixed"/>
        <w:tblInd w:w="0" w:type="dxa"/>
        <w:tblCellMar>
          <w:top w:w="0" w:type="dxa"/>
          <w:left w:w="0" w:type="dxa"/>
          <w:bottom w:w="0" w:type="dxa"/>
          <w:right w:w="0" w:type="dxa"/>
        </w:tblCellMar>
      </w:tblPr>
      <w:tr>
        <w:trPr>
          <w:trHeight w:val="190"/>
        </w:trPr>
        <w:tc>
          <w:tcPr>
            <w:tcW w:w="9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8"/>
        </w:trPr>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Select Cash Flow Information from Discontinued Operations</w:t>
            </w:r>
          </w:p>
        </w:tc>
        <w:tc>
          <w:tcPr>
            <w:tcW w:w="140" w:type="dxa"/>
            <w:vAlign w:val="bottom"/>
          </w:tcPr>
          <w:p>
            <w:pPr>
              <w:spacing w:after="0"/>
              <w:rPr>
                <w:sz w:val="13"/>
                <w:szCs w:val="13"/>
                <w:color w:val="auto"/>
              </w:rPr>
            </w:pPr>
          </w:p>
        </w:tc>
        <w:tc>
          <w:tcPr>
            <w:tcW w:w="1300" w:type="dxa"/>
            <w:vAlign w:val="bottom"/>
          </w:tcPr>
          <w:p>
            <w:pPr>
              <w:jc w:val="center"/>
              <w:ind w:right="64"/>
              <w:spacing w:after="0" w:line="15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9"/>
        </w:trPr>
        <w:tc>
          <w:tcPr>
            <w:tcW w:w="9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3"/>
        </w:trPr>
        <w:tc>
          <w:tcPr>
            <w:tcW w:w="9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Supplemental Financial Statement Data</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 and improvements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9,085</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(6,742)</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-1559560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Non-current assets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tax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73" w:lineRule="exact"/>
        <w:rPr>
          <w:sz w:val="20"/>
          <w:szCs w:val="20"/>
          <w:color w:val="auto"/>
        </w:rPr>
      </w:pPr>
    </w:p>
    <w:p>
      <w:pPr>
        <w:jc w:val="right"/>
        <w:ind w:right="5760"/>
        <w:spacing w:after="0"/>
        <w:rPr>
          <w:sz w:val="20"/>
          <w:szCs w:val="20"/>
          <w:color w:val="auto"/>
        </w:rPr>
      </w:pPr>
      <w:r>
        <w:rPr>
          <w:rFonts w:ascii="Times New Roman" w:cs="Times New Roman" w:eastAsia="Times New Roman" w:hAnsi="Times New Roman"/>
          <w:sz w:val="16"/>
          <w:szCs w:val="16"/>
          <w:color w:val="auto"/>
        </w:rPr>
        <w:t>Total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438"/>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-591185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-316865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-728345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accrual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2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0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520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5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ind w:left="9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-864870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-864870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portion of the warranty accrual was classified in Accrued expenses and the long-term portion was classified in Other liabilities, as noted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60" w:type="dxa"/>
            <w:vAlign w:val="bottom"/>
          </w:tcPr>
          <w:p>
            <w:pPr>
              <w:spacing w:after="0"/>
              <w:rPr>
                <w:sz w:val="17"/>
                <w:szCs w:val="17"/>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w:t>
            </w: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warranty accrual</w:t>
            </w:r>
          </w:p>
        </w:tc>
        <w:tc>
          <w:tcPr>
            <w:tcW w:w="110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
        </w:trPr>
        <w:tc>
          <w:tcPr>
            <w:tcW w:w="8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-728345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260" w:type="dxa"/>
            <w:vAlign w:val="bottom"/>
          </w:tcPr>
          <w:p>
            <w:pPr>
              <w:spacing w:after="0"/>
              <w:rPr>
                <w:sz w:val="16"/>
                <w:szCs w:val="16"/>
                <w:color w:val="auto"/>
              </w:rPr>
            </w:pPr>
          </w:p>
        </w:tc>
        <w:tc>
          <w:tcPr>
            <w:tcW w:w="1660" w:type="dxa"/>
            <w:vAlign w:val="bottom"/>
            <w:gridSpan w:val="3"/>
          </w:tcPr>
          <w:p>
            <w:pPr>
              <w:ind w:left="8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438"/>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-728345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is not amortized. Instead, it is tested for impairment annually as of the beginning of the Company’s fourth quarter, or more frequently if events or</w:t>
      </w:r>
    </w:p>
    <w:p>
      <w:pPr>
        <w:spacing w:after="0" w:line="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changes in circumstances indicate that goodwill may be impaired. Management performed goodwill impairment assessments and concluded there were no impairments for each of the three or six months ended January 2, 2026 and December 27, 2024. The carrying amount of goodwill was $4.32 billion as of both January 2, 2026 and June 27,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25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Accumulated other comprehensive income refers to expenses, gains, and losses that are recorded as an element of shareholders’ equity but are excluded from net income. The components of Accumulated other comprehensive income were as follows:</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Gains on</w:t>
            </w:r>
          </w:p>
        </w:tc>
        <w:tc>
          <w:tcPr>
            <w:tcW w:w="120" w:type="dxa"/>
            <w:vAlign w:val="bottom"/>
          </w:tcPr>
          <w:p>
            <w:pPr>
              <w:spacing w:after="0"/>
              <w:rPr>
                <w:sz w:val="12"/>
                <w:szCs w:val="12"/>
                <w:color w:val="auto"/>
              </w:rPr>
            </w:pPr>
          </w:p>
        </w:tc>
        <w:tc>
          <w:tcPr>
            <w:tcW w:w="132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continue"/>
          </w:tcPr>
          <w:p>
            <w:pPr>
              <w:spacing w:after="0"/>
              <w:rPr>
                <w:sz w:val="12"/>
                <w:szCs w:val="12"/>
                <w:color w:val="auto"/>
              </w:rPr>
            </w:pPr>
          </w:p>
        </w:tc>
        <w:tc>
          <w:tcPr>
            <w:tcW w:w="14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ind w:left="10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27,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66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 loss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6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January 2, 2026, the amounts reclassified from Accumulated other comprehensive income were losses related to foreign exchange contracts that were substantially charged to Cost of revenue in the Condensed Consolidated Statements of Operations.</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As of January 2, 2026, all existing net gains related to cash flow hedges recorded in Accumulated other comprehensive income are expected to be reclassified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2,068</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4"/>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7"/>
        </w:trPr>
        <w:tc>
          <w:tcPr>
            <w:tcW w:w="5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5"/>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-3102610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-3102610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-3102610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-1302385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-1302385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-1302385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instruments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were categorized as Level 2 for all periods presented, based on the frequency of trading immediately prior to the end of the second quarter of 2026 and the fourth quarter of 2025,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98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A-3 maturing 2027</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2"/>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-1002030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-1002030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A-3 maturing 2027</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7"/>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r>
      <w:tr>
        <w:trPr>
          <w:trHeight w:val="216"/>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-1567815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January 2, 2026, the Company made scheduled repayments of $32 million and $63 million, respectively, under Term Loan A-3. The Company intends to redeem or repay the outstanding $500 million aggregate principal amount of 4.75% senior unsecured notes due 2026 on or before the scheduled maturity date of February 15, 2026.</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Term Loan A-3 bears interest, at the Company’s option, at a base rate plus an applicable margin (as defined in the loan agreement governing the Term Loan A-3, which the Company refers to as the “Loan Agreement”). The all-in interest rate for Term Loan A-3 as of January 2, 2026 was 5.300%.</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January 2, 2026, the Company had no outstanding standby letters of credit and the available capacity under the revolving credit facility maturing in January 2027 was $1.25 billion as of that date.</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Loan Agreement requires the Company to comply with a financial leverage ratio covenant. As of January 2, 2026, the Company was in compliance with the financial covenant.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January 2, 2026, the Company had outstanding $1.60 billion aggregate principal amount of convertible senior notes pursuant to an indenture dated as of November 3, 2023 (the “Indenture”), which bear interest at an annual rate of 3.00% and mature on November 15, 2028, unless earlier repurchased, redeemed or converted (the “2028 Convertible Notes”).</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2028 Convertible Notes are convertible at the option of any holder beginning August 15, 2028, at a conversion price of approximately $37.74 per share of common stock (as of January 2, 2026, as adjusted in accordance with the Indenture as a result of the Separation and dividends paid on the Company’s common stock). Prior to August 15, 2028, if the trading price of the Company’s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 On or after November 15, 2026, the Company may redeem for cash, at par plus accrued interest, all or any portion of the 2028 Convertible Notes, at its option, if the last reported sale price of the Company’s common stock has been at least 130% of the conversion price then in effect for at least 10 trading days during any 20 consecutive trading day period immediately preceding the date of the Company’s redemption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calendar quarter ended December 31, 2025, the sale price conditional conversion feature of the 2028 Convertible Notes was triggered, which provides the holders of those notes with the right to convert during the succeeding calendar ending March 31, 2026. Similarly, during the calendar quarter ended June 30, 2025, the sale price conditional conversion feature of the 2028 Convertible Notes was also triggered, which then provided the holders with the right to convert during the succeeding calendar quarter ended September 30, 2025. Consequently, the Company classified the 2028 Convertible Notes in the Current portion of long-term debt in the Condensed Consolidated Financial Statements as of each of January 2, 2026 and June 27, 2025. The Company will continue to evaluate the conversion feature quarterly to determine if the 2028 Convertible Notes remain convertible in future periods.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2028 Convertible Notes, the Company also entered into privately negotiated capped call transactions with certain counterparties (the “Capped Calls”). As of January 2, 2026, the Capped Calls each have a strike price of approximately $37.74 per share, as adjusted in accordance with the terms of the agreements and corresponds to the current conversion price of the 2028 Convertible Notes. The Capped Calls are subject to the same adjustments applicable to the conversion price of the 2028 Convertible Notes, which the Company expects will result in adjusted cap prices of approximately $50.43 per share, subject to certain adjustments. The Capped Calls are generally intended to reduce or offset the potential dilution to the Company’s common stock upon any conversion of the 2028 Convertible Notes with such reduction or offset, as the case may be, subject to a cap based on the cap price.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meet certain accounting criteria, the Capped Calls are recorded in shareholders’ equity and are not accounted for as derivatives.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right-of-use lease assets and lease liabilities included in the Company’s Condensed 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57"/>
        </w:trPr>
        <w:tc>
          <w:tcPr>
            <w:tcW w:w="8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operating lease liabilities (included in Accrued expenses)</w:t>
            </w: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10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
        </w:trPr>
        <w:tc>
          <w:tcPr>
            <w:tcW w:w="8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60" w:type="dxa"/>
            <w:vAlign w:val="bottom"/>
            <w:gridSpan w:val="3"/>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1120" w:type="dxa"/>
            <w:vAlign w:val="bottom"/>
          </w:tcPr>
          <w:p>
            <w:pPr>
              <w:jc w:val="center"/>
              <w:ind w:left="226"/>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40" w:type="dxa"/>
            <w:vAlign w:val="bottom"/>
          </w:tcPr>
          <w:p>
            <w:pPr>
              <w:spacing w:after="0"/>
              <w:rPr>
                <w:sz w:val="11"/>
                <w:szCs w:val="11"/>
                <w:color w:val="auto"/>
              </w:rPr>
            </w:pPr>
          </w:p>
        </w:tc>
        <w:tc>
          <w:tcPr>
            <w:tcW w:w="1200" w:type="dxa"/>
            <w:vAlign w:val="bottom"/>
          </w:tcPr>
          <w:p>
            <w:pPr>
              <w:jc w:val="center"/>
              <w:ind w:left="285"/>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344"/>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60" w:type="dxa"/>
            <w:vAlign w:val="bottom"/>
          </w:tcPr>
          <w:p>
            <w:pPr>
              <w:spacing w:after="0"/>
              <w:rPr>
                <w:sz w:val="11"/>
                <w:szCs w:val="11"/>
                <w:color w:val="auto"/>
              </w:rPr>
            </w:pPr>
          </w:p>
        </w:tc>
        <w:tc>
          <w:tcPr>
            <w:tcW w:w="1240" w:type="dxa"/>
            <w:vAlign w:val="bottom"/>
          </w:tcPr>
          <w:p>
            <w:pPr>
              <w:jc w:val="right"/>
              <w:ind w:right="223"/>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6"/>
        </w:trPr>
        <w:tc>
          <w:tcPr>
            <w:tcW w:w="5200" w:type="dxa"/>
            <w:vAlign w:val="bottom"/>
          </w:tcPr>
          <w:p>
            <w:pPr>
              <w:spacing w:after="0"/>
              <w:rPr>
                <w:sz w:val="17"/>
                <w:szCs w:val="17"/>
                <w:color w:val="auto"/>
              </w:rPr>
            </w:pPr>
          </w:p>
        </w:tc>
        <w:tc>
          <w:tcPr>
            <w:tcW w:w="11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2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0" w:type="dxa"/>
            <w:vAlign w:val="bottom"/>
            <w:shd w:val="clear" w:color="auto" w:fill="CCEEFF"/>
          </w:tcPr>
          <w:p>
            <w:pPr>
              <w:jc w:val="right"/>
              <w:ind w:right="94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20" w:type="dxa"/>
            <w:vAlign w:val="bottom"/>
          </w:tcPr>
          <w:p>
            <w:pPr>
              <w:spacing w:after="0"/>
              <w:rPr>
                <w:sz w:val="18"/>
                <w:szCs w:val="18"/>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Company’s operating leases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12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91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-278765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WESTERN DIGITAL CORPORATION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729"/>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As of January 2, 2026, minimum lease payments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6"/>
        </w:trPr>
        <w:tc>
          <w:tcPr>
            <w:tcW w:w="9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9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Remaining six months of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9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2"/>
        </w:trPr>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3"/>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9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January 2, 2026, the Company had the following minimum long-term commitments: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Remaining six months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Long-Term</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 w:lineRule="exact"/>
        <w:rPr>
          <w:sz w:val="20"/>
          <w:szCs w:val="20"/>
          <w:color w:val="auto"/>
        </w:rPr>
      </w:pPr>
    </w:p>
    <w:p>
      <w:pPr>
        <w:ind w:left="353"/>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2" w:lineRule="exact"/>
        <w:rPr>
          <w:sz w:val="20"/>
          <w:szCs w:val="20"/>
          <w:color w:val="auto"/>
        </w:rPr>
      </w:pPr>
    </w:p>
    <w:p>
      <w:pPr>
        <w:ind w:left="1193" w:hanging="1193"/>
        <w:spacing w:after="0"/>
        <w:tabs>
          <w:tab w:leader="none" w:pos="119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p>
    <w:p>
      <w:pPr>
        <w:spacing w:after="0" w:line="32" w:lineRule="exact"/>
        <w:rPr>
          <w:rFonts w:ascii="Times New Roman" w:cs="Times New Roman" w:eastAsia="Times New Roman" w:hAnsi="Times New Roman"/>
          <w:sz w:val="16"/>
          <w:szCs w:val="16"/>
          <w:color w:val="auto"/>
        </w:rPr>
      </w:pPr>
    </w:p>
    <w:p>
      <w:pPr>
        <w:ind w:left="11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w:t>
      </w:r>
    </w:p>
    <w:p>
      <w:pPr>
        <w:spacing w:after="0" w:line="46" w:lineRule="exact"/>
        <w:rPr>
          <w:sz w:val="20"/>
          <w:szCs w:val="20"/>
          <w:color w:val="auto"/>
        </w:rPr>
      </w:pPr>
    </w:p>
    <w:p>
      <w:pPr>
        <w:ind w:left="1193" w:hanging="1193"/>
        <w:spacing w:after="0"/>
        <w:tabs>
          <w:tab w:leader="none" w:pos="119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086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Previously, the Tax Cuts and Jobs Act of 2017 (“TCJA”) eliminated the ability to deduct research and development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2026. The legislation also includes favorable modifications to international tax provisions, including changes to the Global Intangible Low-Taxed Income regime and enhancements to the Foreign-Derived Deduction Eligible Income (“FDDEI”) deduction that will become effective for the Company in 2027.</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which contained, among other things, a corporate alternative minimum tax (“CAMT”) of 15% on corporations with three-year average annual adjusted financial statement income (“AFSI”) exceeding $1.0 billion. Although CAMT became effective for the Company beginning with 2024, the Company was not subject to CAMT in 2024 and 2025. The Company does not expect to be subject to CAMT in 2026 as its average annual AFSI did not exceed $1.0 billion for the preceding three-year period.</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For 2026, the Company is subject to GMT in Malaysia, Thailand, and the Philippines.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600" w:type="dxa"/>
            <w:vAlign w:val="bottom"/>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304"/>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00" w:type="dxa"/>
            <w:vAlign w:val="bottom"/>
          </w:tcPr>
          <w:p>
            <w:pPr>
              <w:spacing w:after="0"/>
              <w:rPr>
                <w:sz w:val="11"/>
                <w:szCs w:val="11"/>
                <w:color w:val="auto"/>
              </w:rPr>
            </w:pPr>
          </w:p>
        </w:tc>
        <w:tc>
          <w:tcPr>
            <w:tcW w:w="1240" w:type="dxa"/>
            <w:vAlign w:val="bottom"/>
          </w:tcPr>
          <w:p>
            <w:pPr>
              <w:jc w:val="right"/>
              <w:ind w:right="224"/>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jc w:val="right"/>
              <w:ind w:right="304"/>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00" w:type="dxa"/>
            <w:vAlign w:val="bottom"/>
          </w:tcPr>
          <w:p>
            <w:pPr>
              <w:spacing w:after="0"/>
              <w:rPr>
                <w:sz w:val="11"/>
                <w:szCs w:val="11"/>
                <w:color w:val="auto"/>
              </w:rPr>
            </w:pPr>
          </w:p>
        </w:tc>
        <w:tc>
          <w:tcPr>
            <w:tcW w:w="1240" w:type="dxa"/>
            <w:vAlign w:val="bottom"/>
          </w:tcPr>
          <w:p>
            <w:pPr>
              <w:jc w:val="right"/>
              <w:ind w:right="223"/>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1,962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3,299</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709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120</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275</w:t>
            </w:r>
          </w:p>
        </w:tc>
        <w:tc>
          <w:tcPr>
            <w:tcW w:w="30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-548005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January 2, 2026 and the U.S. Federal statutory rate of 21% are the relative mix of earnings and losses by jurisdiction, the deduction for FDDEI, tax credits, and the gain on the retained interest in Sandisk being tax-free due to the Separation of the Flash business. These resulted in decreases to the Company’s effective tax rate below the U.S. Federal statutory rate for the three and six months ended January 2, 2026. The Company’s income tax provision for the three and six months ended January 2, 2026 includes GMT for Malaysia as well as Thailand and the Philippines, countries for which the Company maintains tax holidays.</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December 27, 2024 and the U.S. Federal statutory rate of 21% were the relative mix of earnings and losses by jurisdiction, tax credits, and tax holidays in Thailand and the Philippines. In addition, the effective tax rate for the six months ended December 27, 2024 includes the discrete effect of a net decrease of $30 million to the liability for unrecognized tax benefits, which includes interest and offsetting tax benefits, as a result of adjustments to align with U.S. Internal Revenue Service (“IRS”) calculations.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Liability for Uncertain Tax Positions</w:t>
      </w:r>
    </w:p>
    <w:p>
      <w:pPr>
        <w:spacing w:after="0" w:line="2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excluding accrued interest and penalties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2026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as of June 27, 2025</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20"/>
        </w:trPr>
        <w:tc>
          <w:tcPr>
            <w:tcW w:w="9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9"/>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20"/>
        </w:trPr>
        <w:tc>
          <w:tcPr>
            <w:tcW w:w="9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9"/>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6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as of January 2, 2026</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7"/>
        </w:trPr>
        <w:tc>
          <w:tcPr>
            <w:tcW w:w="9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January 2, 2026 was $97 million. Of the aggregate unrecognized tax benefits, including interest and penalties, approximately $130 million could result in potential cash payments to be made within the next twelve months.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believes that an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Business Realignment Charges</w:t>
      </w:r>
    </w:p>
    <w:p>
      <w:pPr>
        <w:spacing w:after="0" w:line="25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periodically incurs charges to realign its business operations with anticipated market demand, primarily consisting of organization rationalization designed to streamline its business, reduce its cost structure, and focus its resources. These actions may result in charges for employee termination benefits or charges from the impairment of intangible assets and other long-lived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net charges related to these actions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120" w:type="dxa"/>
            <w:vAlign w:val="bottom"/>
          </w:tcPr>
          <w:p>
            <w:pPr>
              <w:jc w:val="right"/>
              <w:ind w:right="4"/>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Pr>
          <w:p>
            <w:pPr>
              <w:spacing w:after="0"/>
              <w:rPr>
                <w:sz w:val="11"/>
                <w:szCs w:val="11"/>
                <w:color w:val="auto"/>
              </w:rPr>
            </w:pPr>
          </w:p>
        </w:tc>
        <w:tc>
          <w:tcPr>
            <w:tcW w:w="124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5200" w:type="dxa"/>
            <w:vAlign w:val="bottom"/>
          </w:tcPr>
          <w:p>
            <w:pPr>
              <w:spacing w:after="0"/>
              <w:rPr>
                <w:sz w:val="16"/>
                <w:szCs w:val="16"/>
                <w:color w:val="auto"/>
              </w:rPr>
            </w:pPr>
          </w:p>
        </w:tc>
        <w:tc>
          <w:tcPr>
            <w:tcW w:w="11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Cash-based employee termination benefits</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employee termination benefits</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termination and other</w:t>
            </w:r>
          </w:p>
        </w:tc>
        <w:tc>
          <w:tcPr>
            <w:tcW w:w="1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business realignment charges</w:t>
            </w: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-728345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-728345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-728345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in January 2026, the Company implemented additional actions to further streamline functions and expects to record incremental employee termination costs of approximately $50 million in the remainder of 2026.</w:t>
      </w:r>
    </w:p>
    <w:p>
      <w:pPr>
        <w:spacing w:after="0" w:line="18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The following table presents an analysis of the components of these activities against the reserve (included in Accrued expenses) during the six months ended January 2, 2026:</w:t>
      </w:r>
    </w:p>
    <w:tbl>
      <w:tblPr>
        <w:tblLayout w:type="fixed"/>
        <w:tblInd w:w="0" w:type="dxa"/>
        <w:tblCellMar>
          <w:top w:w="0" w:type="dxa"/>
          <w:left w:w="0" w:type="dxa"/>
          <w:bottom w:w="0" w:type="dxa"/>
          <w:right w:w="0" w:type="dxa"/>
        </w:tblCellMar>
      </w:tblPr>
      <w:tr>
        <w:trPr>
          <w:trHeight w:val="147"/>
        </w:trPr>
        <w:tc>
          <w:tcPr>
            <w:tcW w:w="6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5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2"/>
                <w:szCs w:val="12"/>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as of June 27, 2025</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as of January 2, 2026</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9"/>
              </w:rPr>
              <w:t>53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Fair value of plan assets at end of period</w:t>
            </w: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liabilities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amount recognized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-591185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benefit costs were immaterial for the three and six months ended January 2, 2026 and December 27,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Shareholders’ Equity and Convertible Preferred Stock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items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120" w:type="dxa"/>
            <w:vAlign w:val="bottom"/>
          </w:tcPr>
          <w:p>
            <w:pPr>
              <w:jc w:val="center"/>
              <w:ind w:left="224"/>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04"/>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Pr>
          <w:p>
            <w:pPr>
              <w:spacing w:after="0"/>
              <w:rPr>
                <w:sz w:val="11"/>
                <w:szCs w:val="11"/>
                <w:color w:val="auto"/>
              </w:rPr>
            </w:pPr>
          </w:p>
        </w:tc>
        <w:tc>
          <w:tcPr>
            <w:tcW w:w="1240" w:type="dxa"/>
            <w:vAlign w:val="bottom"/>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5200" w:type="dxa"/>
            <w:vAlign w:val="bottom"/>
          </w:tcPr>
          <w:p>
            <w:pPr>
              <w:spacing w:after="0"/>
              <w:rPr>
                <w:sz w:val="16"/>
                <w:szCs w:val="16"/>
                <w:color w:val="auto"/>
              </w:rPr>
            </w:pPr>
          </w:p>
        </w:tc>
        <w:tc>
          <w:tcPr>
            <w:tcW w:w="112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5"/>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76</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82"/>
              <w:spacing w:after="0"/>
              <w:rPr>
                <w:sz w:val="20"/>
                <w:szCs w:val="20"/>
                <w:color w:val="auto"/>
              </w:rPr>
            </w:pPr>
            <w:r>
              <w:rPr>
                <w:rFonts w:ascii="Times New Roman" w:cs="Times New Roman" w:eastAsia="Times New Roman" w:hAnsi="Times New Roman"/>
                <w:sz w:val="16"/>
                <w:szCs w:val="16"/>
                <w:color w:val="auto"/>
                <w:w w:val="99"/>
              </w:rPr>
              <w:t>11</w:t>
            </w:r>
          </w:p>
        </w:tc>
      </w:tr>
      <w:tr>
        <w:trPr>
          <w:trHeight w:val="237"/>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87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0"/>
        </w:trPr>
        <w:tc>
          <w:tcPr>
            <w:tcW w:w="5200" w:type="dxa"/>
            <w:vAlign w:val="bottom"/>
          </w:tcPr>
          <w:p>
            <w:pPr>
              <w:spacing w:after="0"/>
              <w:rPr>
                <w:sz w:val="24"/>
                <w:szCs w:val="24"/>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5200" w:type="dxa"/>
            <w:vAlign w:val="bottom"/>
          </w:tcPr>
          <w:p>
            <w:pPr>
              <w:spacing w:after="0"/>
              <w:rPr>
                <w:sz w:val="11"/>
                <w:szCs w:val="11"/>
                <w:color w:val="auto"/>
              </w:rPr>
            </w:pPr>
          </w:p>
        </w:tc>
        <w:tc>
          <w:tcPr>
            <w:tcW w:w="1120" w:type="dxa"/>
            <w:vAlign w:val="bottom"/>
          </w:tcPr>
          <w:p>
            <w:pPr>
              <w:jc w:val="center"/>
              <w:ind w:left="224"/>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04"/>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Pr>
          <w:p>
            <w:pPr>
              <w:spacing w:after="0"/>
              <w:rPr>
                <w:sz w:val="11"/>
                <w:szCs w:val="11"/>
                <w:color w:val="auto"/>
              </w:rPr>
            </w:pPr>
          </w:p>
        </w:tc>
        <w:tc>
          <w:tcPr>
            <w:tcW w:w="124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6"/>
        </w:trPr>
        <w:tc>
          <w:tcPr>
            <w:tcW w:w="5200" w:type="dxa"/>
            <w:vAlign w:val="bottom"/>
          </w:tcPr>
          <w:p>
            <w:pPr>
              <w:spacing w:after="0"/>
              <w:rPr>
                <w:sz w:val="17"/>
                <w:szCs w:val="17"/>
                <w:color w:val="auto"/>
              </w:rPr>
            </w:pPr>
          </w:p>
        </w:tc>
        <w:tc>
          <w:tcPr>
            <w:tcW w:w="112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19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9"/>
              </w:rPr>
              <w:t>35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33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9"/>
              </w:rPr>
              <w:t>—</w:t>
            </w:r>
          </w:p>
        </w:tc>
      </w:tr>
      <w:tr>
        <w:trPr>
          <w:trHeight w:val="212"/>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87</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42"/>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76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-2305050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-2305050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-1148080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-1148080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Any shortfalls or excess windfall tax benefits and tax deficiencies for shortfalls related to the vesting and exercise of stock-based awards, which are recognized as a component of the Company’s Income tax expense, were immaterial for the periods presented.</w:t>
      </w:r>
    </w:p>
    <w:p>
      <w:pPr>
        <w:spacing w:after="0" w:line="189"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are generally amortized on a straight-line basis over the remaining average service period. The following table presents the unamortized compensation cost and weighted average service period of all unvested outstanding awards as of January 2, 2026:</w:t>
      </w:r>
    </w:p>
    <w:tbl>
      <w:tblPr>
        <w:tblLayout w:type="fixed"/>
        <w:tblInd w:w="0" w:type="dxa"/>
        <w:tblCellMar>
          <w:top w:w="0" w:type="dxa"/>
          <w:left w:w="0" w:type="dxa"/>
          <w:bottom w:w="0" w:type="dxa"/>
          <w:right w:w="0" w:type="dxa"/>
        </w:tblCellMar>
      </w:tblPr>
      <w:tr>
        <w:trPr>
          <w:trHeight w:val="150"/>
        </w:trPr>
        <w:tc>
          <w:tcPr>
            <w:tcW w:w="148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44"/>
              <w:spacing w:after="0" w:line="150"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3"/>
                <w:szCs w:val="13"/>
                <w:color w:val="auto"/>
              </w:rPr>
            </w:pPr>
          </w:p>
        </w:tc>
        <w:tc>
          <w:tcPr>
            <w:tcW w:w="14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(years)</w:t>
            </w:r>
          </w:p>
        </w:tc>
      </w:tr>
      <w:tr>
        <w:trPr>
          <w:trHeight w:val="222"/>
        </w:trPr>
        <w:tc>
          <w:tcPr>
            <w:tcW w:w="826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1.0</w:t>
            </w:r>
          </w:p>
        </w:tc>
      </w:tr>
      <w:tr>
        <w:trPr>
          <w:trHeight w:val="237"/>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6"/>
        </w:trPr>
        <w:tc>
          <w:tcPr>
            <w:tcW w:w="148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87"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conditions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June 27, 2025</w:t>
            </w:r>
          </w:p>
        </w:tc>
        <w:tc>
          <w:tcPr>
            <w:tcW w:w="1420" w:type="dxa"/>
            <w:vAlign w:val="bottom"/>
            <w:shd w:val="clear" w:color="auto" w:fill="CCEEFF"/>
          </w:tcPr>
          <w:p>
            <w:pPr>
              <w:jc w:val="center"/>
              <w:ind w:left="1022"/>
              <w:spacing w:after="0"/>
              <w:rPr>
                <w:sz w:val="20"/>
                <w:szCs w:val="20"/>
                <w:color w:val="auto"/>
              </w:rPr>
            </w:pPr>
            <w:r>
              <w:rPr>
                <w:rFonts w:ascii="Times New Roman" w:cs="Times New Roman" w:eastAsia="Times New Roman" w:hAnsi="Times New Roman"/>
                <w:sz w:val="16"/>
                <w:szCs w:val="16"/>
                <w:color w:val="auto"/>
                <w:w w:val="99"/>
              </w:rPr>
              <w:t>9.7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center"/>
              <w:ind w:left="1022"/>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center"/>
              <w:ind w:left="98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center"/>
              <w:ind w:left="98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January 2, 2026</w:t>
            </w:r>
          </w:p>
        </w:tc>
        <w:tc>
          <w:tcPr>
            <w:tcW w:w="1420" w:type="dxa"/>
            <w:vAlign w:val="bottom"/>
            <w:tcBorders>
              <w:bottom w:val="single" w:sz="8" w:color="auto"/>
            </w:tcBorders>
            <w:shd w:val="clear" w:color="auto" w:fill="CCEEFF"/>
          </w:tcPr>
          <w:p>
            <w:pPr>
              <w:jc w:val="center"/>
              <w:ind w:left="1022"/>
              <w:spacing w:after="0"/>
              <w:rPr>
                <w:sz w:val="20"/>
                <w:szCs w:val="20"/>
                <w:color w:val="auto"/>
              </w:rPr>
            </w:pPr>
            <w:r>
              <w:rPr>
                <w:rFonts w:ascii="Times New Roman" w:cs="Times New Roman" w:eastAsia="Times New Roman" w:hAnsi="Times New Roman"/>
                <w:sz w:val="16"/>
                <w:szCs w:val="16"/>
                <w:color w:val="auto"/>
                <w:w w:val="99"/>
              </w:rPr>
              <w:t>9.1</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January 31, 2023, the Board of Directors of the Company authorized the designation of 900,000 shares of Series A Convertible Perpetual Preferred Stock, par value $0.01 per share (the “Preferred Shares”), from the Company’s existing 5,000,000 authorized but unissued shares of preferred stock and issued the Preferred Shares through a private placement. As of both January 2, 2026 and June 27, 2025, 235,000 of the Preferred Shares were outstanding.</w:t>
      </w:r>
    </w:p>
    <w:p>
      <w:pPr>
        <w:spacing w:after="0" w:line="20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Preferred Shares have an initial stated value of $1,000 per share and accrue a cumulative preferred dividend at an annual rate of 6.25% per annum (increasing to 7.25% per annum on January 31, 2030 and to 8.25% per annum on January 31, 2033) compounded on a quarterly basis. Such dividends are payable on a quarterly basis in cash or in-kind through an increase to the stated value. Through December 27, 2024, the Company paid quarterly dividends on the Preferred Shares in-kind through an increase to the stated value. Subsequently, quarterly dividends on the Preferred Shares have been made in cash, including $4 million and $8 million paid in the three and six months ended January 2, 2026, respectively. The Preferred Shares also participate in any dividends declared for common shareholders on an as-converted equivalent basis.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January 2, 2026, the Preferred Shares are convertible into shares of the Company’s common stock at a conversion rate of approximately $35.51 per share, as adjusted in accordance with the Certificate of Designations for the Preferred Shares (the “Conversion Price”). This rate is subject to future anti-dilution adjustments and certain other one-time adjustments in the event of various specified spin-off transactions. The conversion applies to the total of the stated value of the Preferred Shares, including dividends paid in-kind. As of January 2, 2026 and June 27, 2025, the Preferred Shares outstanding had an aggregate liquidation preference, including previous dividends paid in-kind, of $265 million as of each date, and would have been convertible, if otherwise permitted, into approximately 7 million shares of common stock as of each date. The Company may opt to convert the Preferred Shares after January 31, 2026, if the closing price per share of the Company’s common stock exceeds 150% of the Conversion Price for at least 20 out of 30 consecutive trading days immediately before the Company’s conversion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2025, the Company’s Board of Directors authorized a share repurchase program for the repurchase of up to $2.0 billion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“Share Repurchase Program”). There is no expiration date for the Share Repurchase Program.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2026, the Company repurchased 3.8 million shares under the Share Repurchase Program for a total cash cost of $615 million plus $4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excise taxes. During the six months ended January 2, 2026, the Company repurchased 10.2 million shares under the Share Repurchase Program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cash cost of $1.17 billion plus $8 million for accrued excise taxes. As of January 2, 2026, the Company had $684 million available for 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Share Repurchase Program. Repurchases under the Share Repurchase Program may be made in the open market or in privately negotiated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and may be made under a Rule 10b5-1 plan. The Company expects shares repurchased under the Share Repurchase Program to be 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principally by operating cash flows. The amount and timing of share repurchases will depend on market conditions and other corporate considerations.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suspend or discontinue the Share Repurchase Program at any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to Common Shareholders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29, 2025, the Company’s Board of Directors authorized the adoption of a cash dividend program. Under the cash dividend program, holders of the Company’s common stock will receive dividends when and as declared by the Board of Directors. During the three months ended January 2, 2026, the Company paid cash dividends of $0.125 per share of its outstanding common stock, totaling $43 million, plus $1 million paid to holders of the Company’s Preferred Shares in accordance with their participation rights. During the six months ended January 2, 2026, the Company paid aggregate cash dividends of $0.225 per share of its outstanding common stock, totaling $77 million, plus $2 million paid to holders of the Company’s Preferred Shares in accordance with their participation rights.</w:t>
      </w:r>
    </w:p>
    <w:p>
      <w:pPr>
        <w:spacing w:after="0" w:line="21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Subsequent to quarter-end, on January 28, 2026, the Board of Directors declared a cash dividend of $0.125 per share of the Company’s common stock, which will be paid on March 18, 2026 to shareholders of record as of the close of business on March 5, 2026.</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modify, suspend, or cancel its cash dividend program in any matter and at any time. The amount of future dividends under the Company’s cash dividend program, and the declaration and payment thereof, will be based upon all relevant factors, including the Company’s financial position, results of operations, cash flows, capital requirements and restrictions under the Company’s Loan Agreement and other financing agreements, and shall be in compliance with applicable law.</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7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30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Dividends allocated to preferred shareholders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Income attributable to participating securities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42"/>
        </w:trPr>
        <w:tc>
          <w:tcPr>
            <w:tcW w:w="5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from discontinued operations, net of taxes, attributable to common</w:t>
            </w: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w:t>
            </w:r>
          </w:p>
        </w:tc>
        <w:tc>
          <w:tcPr>
            <w:tcW w:w="2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 - basic</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2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Re-allocation of participating securities considered potentially dilutive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2"/>
        </w:trPr>
        <w:tc>
          <w:tcPr>
            <w:tcW w:w="5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w:t>
            </w: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from discontinued operations, net of taxes, attributable to common</w:t>
            </w: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w:t>
            </w:r>
          </w:p>
        </w:tc>
        <w:tc>
          <w:tcPr>
            <w:tcW w:w="2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 - diluted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RSUs, PSUs, ESPP, and convertible notes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3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-4602480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-4602480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-4602480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Participating securities consist of preferred stock because it participates on a pro rata basis in any dividends declared on shares of common stock.</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(i) net income less (ii) dividends allocated to preferred shareholders less (iii) net income attributable to participating securities divided by (iv) basic weighted average shares outstanding. Diluted net income per common share is computed as (i) basic net income attributable to common shareholders plus (ii) diluted adjustments to income allocable to participating securities divided by (iii) diluted weighted average shares outstanding. The “if-converted” method is used to determine the dilutive impact for the convertible notes and the preferred shares. The treasury stock method is used to determine the dilutive impact of unvested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520" w:right="248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RSUs and PSUs, rights to purchase shares of common stock under the Company’s ESPP, shares issuable in connection with the Company’s convertible notes, and Preferred Shares. For the three and six months ended January 2, 2026 and December 27, 2024, based on the Company’s average stock price during the period, an insignificant number of common shares subject to outstanding equity awards were anti-dilutive.</w:t>
      </w: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Intellectual Property Litigation</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related to U.S. Patent No. 6,088,802 and asserted this against certain HDD products that may include certain encryption capabilities. The trial commenced on October 8, 2024, and concluded on October 18, 2024, and the jury awarded SPEX damages of $316 million for the use of one claim related to U.S. Patent No. 6,088,802 in the past, prior to its expiration in 2017. On January 8, 2025, the Court entered judgment for SPEX in accordance with the verdict and also awarded SPEX prejudgment interest of $237 million and legal costs. On June 16, 2025, the Court ruled on the Company’s post-trial motions, finding that SPEX did not present sufficient evidence on which a damages award could be determined and therefore awarded nominal damages of $1. On June 27, 2025, the Court entered an amended judgment awarding SPEX nominal damages of $1 with no prejudgment interest and no legal costs. The Company has appealed the infringement finding, and SPEX has appealed damages-related issues. Based on available appellate arguments, the Company believes a loss is not probable and has not accrued a liability as a result of the jury verdict or the entry of amended judgment in its financial statements as of January 2, 2026.</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ability to predict the ultimate outcome of any legal proceeding involves judgments, estimates and inherent uncertainties. The actual outcome of these matters could differ materially from management’s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2025 Annual Report on Form 10-K. See</w:t>
      </w:r>
    </w:p>
    <w:p>
      <w:pPr>
        <w:spacing w:after="0" w:line="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also “Forward-Looking Statements” immediately prior to Part I, Item 1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7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and solutions based on hard disk drive (“HDD”) technology. We leverage our capability in the HDD industry primarily for the cloud and hyperscale data center markets. HDDs are critical components in the worldwide data infrastructure market, powering the digital economy. HDDs provide reliable, cost-effective, high-capacity storage needs for a wide range of applications, ranging from cloud data centers, enterprise storage systems, edge computing, video surveillance, to client and consumer.</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broad portfolio of technology and products addresses our customers’ storage needs through multiple end markets: “Cloud,” “Client” and “Consumer”. Cloud is comprised primarily of products for public or private cloud environments and enterprise customers. Through the Client end market, we provide our OEM and channel customers a broad array of high-performance HDD solutions across desktop and notebooks. The Consumer end market provides a broad range of retail and other end-user products, which capitalize on the strength of our product brand recognition and vast points of presence around the world.</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2026, which will end on July 3, 2026, will be comprised of 53 weeks, with the first quarter consisting of 14 weeks and the remaining quarters consisting of 13 weeks each. Fiscal year 2025, which ended on June 27, 2025, was comprised of 52 weeks, with all quarters presented consisting of 13 weeks.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Separation of Business Units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21, 2025 (the “Separation Date”), we completed the separation of our HDD and Flash business units (the “Separation”) to create two independent public companies, with Western Digital continuing our existing HDD business and Sandisk Corporation (“Sandisk”), formerly a wholly-owned subsidiary of the Company, holding the Flash business. We believe the Separation has better positioned us as a pure-play HDD company that can execute innovative technology and product development, capitalize on unique growth opportunities, extend our leadership position, operate more efficiently, and pursue capital allocation strategies to maximize long-term shareholder value. As part of the Separation, we initially retained 28.8 million shares of Sandisk common stock, of which 21.3 million shares were used in the three months ended June 27, 2025 in a tax-free exchange to reduce approximately $800 million principal amount of our term loan A-3. We expect to monetize our remaining stake in Sandisk to further reduce our debt within one year from the Separation Date.</w:t>
      </w:r>
    </w:p>
    <w:p>
      <w:pPr>
        <w:spacing w:after="0" w:line="2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Prior period information provided herein is presented on a continuing operations basis to reflect the impact of the Separation. See Part I, Item 1, Note 4,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of the Notes to Condensed Consolidated Financial Statements included in this Quarterly Report on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 Separation.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Macroeconomic Conditions and Outlook</w:t>
      </w:r>
    </w:p>
    <w:p>
      <w:pPr>
        <w:spacing w:after="0" w:line="2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increasing long-term demand for data storage in the cloud is benefiting our HDD business. The adoption of artificial intelligence (“AI”) and workloads driven by hybrid data is driving additional growth in data storage as well. This creates an accelerated demand for high-capacity drives, resulting in greater manufacturing complexity and longer production lead times. In response, customers are partnering with us earlier to support their future growth requirements and are extending the duration of their commercial arrangements.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United States has been making changes to its trade policy, including increasing tariffs on imports, in some cases significantly. Several of these tariff actions have been followed by announcements of limited exemptions, temporary pauses or other changes. These actions have caused substantial uncertainty and have also resulted in retaliatory measures. Our business and results of operations have not been materially impacted through the second quarter of 2026 as a result of these tariff actions, but we are actively monitoring developments and exploring opportunities to mitigate potential future tariff and retaliatory actions. For additional information, please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2025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Second Quarter and First Half Overview</w:t>
      </w:r>
    </w:p>
    <w:p>
      <w:pPr>
        <w:spacing w:after="0" w:line="254"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3"/>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1"/>
                <w:szCs w:val="11"/>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45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54.3</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62.3</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45.7</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37.7</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473</w:t>
            </w:r>
          </w:p>
        </w:tc>
        <w:tc>
          <w:tcPr>
            <w:tcW w:w="104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7"/>
              </w:rPr>
              <w:t>(10)</w:t>
            </w: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4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15.6</w:t>
            </w: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 w:type="dxa"/>
            <w:vAlign w:val="bottom"/>
            <w:tcBorders>
              <w:top w:val="single" w:sz="8" w:color="auto"/>
              <w:bottom w:val="single" w:sz="8" w:color="auto"/>
            </w:tcBorders>
          </w:tcPr>
          <w:p>
            <w:pPr>
              <w:spacing w:after="0"/>
              <w:rPr>
                <w:sz w:val="17"/>
                <w:szCs w:val="17"/>
                <w:color w:val="auto"/>
              </w:rPr>
            </w:pPr>
          </w:p>
        </w:tc>
        <w:tc>
          <w:tcPr>
            <w:tcW w:w="11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14.4</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125</w:t>
            </w:r>
          </w:p>
        </w:tc>
        <w:tc>
          <w:tcPr>
            <w:tcW w:w="10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30.1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348</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4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(93)</w:t>
            </w: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retained interest in Sandisk</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36.6</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1,103</w:t>
            </w:r>
          </w:p>
        </w:tc>
        <w:tc>
          <w:tcPr>
            <w:tcW w:w="10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(10)</w:t>
            </w: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34.9</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7"/>
              </w:rPr>
              <w:t>(94)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1,148</w:t>
            </w:r>
          </w:p>
        </w:tc>
        <w:tc>
          <w:tcPr>
            <w:tcW w:w="104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480" w:type="dxa"/>
            <w:vAlign w:val="bottom"/>
          </w:tcPr>
          <w:p>
            <w:pPr>
              <w:spacing w:after="0"/>
              <w:rPr>
                <w:sz w:val="17"/>
                <w:szCs w:val="17"/>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65.0</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19.3</w:t>
            </w:r>
          </w:p>
        </w:tc>
        <w:tc>
          <w:tcPr>
            <w:tcW w:w="180" w:type="dxa"/>
            <w:vAlign w:val="bottom"/>
          </w:tcPr>
          <w:p>
            <w:pPr>
              <w:spacing w:after="0"/>
              <w:rPr>
                <w:sz w:val="17"/>
                <w:szCs w:val="17"/>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1,496</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10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48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61.1 %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1,376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154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3"/>
          </w:tcPr>
          <w:p>
            <w:pPr>
              <w:jc w:val="right"/>
              <w:ind w:right="519"/>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1"/>
                <w:szCs w:val="11"/>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5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55.3</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62.9</w:t>
            </w:r>
          </w:p>
        </w:tc>
        <w:tc>
          <w:tcPr>
            <w:tcW w:w="2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50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37.1</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894</w:t>
            </w:r>
          </w:p>
        </w:tc>
        <w:tc>
          <w:tcPr>
            <w:tcW w:w="104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10.5</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5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4.6</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Pr>
          <w:p>
            <w:pPr>
              <w:spacing w:after="0"/>
              <w:rPr>
                <w:sz w:val="18"/>
                <w:szCs w:val="18"/>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(70)</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5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12"/>
        </w:trPr>
        <w:tc>
          <w:tcPr>
            <w:tcW w:w="50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15.5</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c>
          <w:tcPr>
            <w:tcW w:w="104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50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29.1</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spacing w:after="0"/>
              <w:rPr>
                <w:sz w:val="17"/>
                <w:szCs w:val="17"/>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806</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4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5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on retained interest in Sandisk</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5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29.4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1,714</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5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27.4</w:t>
            </w: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tcBorders>
              <w:top w:val="single" w:sz="8" w:color="auto"/>
              <w:bottom w:val="single" w:sz="8" w:color="auto"/>
            </w:tcBorders>
          </w:tcPr>
          <w:p>
            <w:pPr>
              <w:spacing w:after="0"/>
              <w:rPr>
                <w:sz w:val="17"/>
                <w:szCs w:val="17"/>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1,784</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(964)</w:t>
            </w: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56.5</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2,590</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5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185</w:t>
            </w:r>
          </w:p>
        </w:tc>
        <w:tc>
          <w:tcPr>
            <w:tcW w:w="10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3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5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2,405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540" w:type="dxa"/>
            <w:vAlign w:val="bottom"/>
            <w:tcBorders>
              <w:bottom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2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15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15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1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1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3"/>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3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5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 by geography</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13"/>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3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68"/>
        </w:trPr>
        <w:tc>
          <w:tcPr>
            <w:tcW w:w="1540" w:type="dxa"/>
            <w:vAlign w:val="bottom"/>
            <w:tcBorders>
              <w:bottom w:val="single" w:sz="8" w:color="auto"/>
            </w:tcBorders>
          </w:tcPr>
          <w:p>
            <w:pPr>
              <w:spacing w:after="0"/>
              <w:rPr>
                <w:sz w:val="5"/>
                <w:szCs w:val="5"/>
                <w:color w:val="auto"/>
              </w:rPr>
            </w:pPr>
          </w:p>
        </w:tc>
        <w:tc>
          <w:tcPr>
            <w:tcW w:w="3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-1807845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-1807845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540" w:right="4280" w:hanging="5532"/>
        <w:spacing w:after="0" w:line="857" w:lineRule="auto"/>
        <w:tabs>
          <w:tab w:leader="none" w:pos="26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revenue is attributed to geographic regions based on the ship-to location of the customer.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Three and Six Months Ended January 2, 2026 to Three and Six Months Ended December 27, 2024</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revenue increased by 25% for the three months ended January 2, 2026 from the comparable period in the prior year, driven by a 22% increase in exabytes sold and a 2% increase in average selling price per exabyte. The increase in exabytes sold was driven by strong demand for our high-capacity enterprise products. The increase in average selling price per exabyte was due to improved pricing on our higher capacity drives. Net revenue increased by 26% for the six months ended January 2, 2026 from the comparable period in the prior year, driven by a 23% increase in exabytes sold and a 3% increase in average selling price per exabyte. The increase in exabytes sold and increase in average selling price per exabyte were attributable to the same factors noted for the three-month period above.</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Cloud revenue increased by 28% for the three months ended January 2, 2026 from the comparable period in the prior year, driven by a 24% increase in exabytes sold and a 3% increase in average selling price per exabyte. The increase in exabytes sold was driven by strong demand for our high-capacity enterprise products. The increase in average selling price per exabyte was due to improved pricing on our higher capacity drives. Cloud revenue increased by 29% for the six months ended January 2, 2026 from the comparable period in the prior year, driven by a 25% increase in exabytes sold and a 3% increase in average selling price per exabyte. The increase in exabytes sold and increase in average selling price per exabyte were attributable to the same factors noted for the three-month period above.</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Client revenue increased by 26% for the three months ended January 2, 2026 from the comparable period in the prior year, driven by a 17% increase in average selling price per exabyte and a 7% increase in exabytes sold. The increase in average selling price per exabyte was due to a shift in product mix to our higher capacity drives. The increase in exabytes sold was driven by strong demand. Client revenue increased by 15% for the six months ended January 2, 2026 from the comparable period in the prior year, driven by a 18% increase in average selling price per exabyte, partially offset by a 2% decrease in exabytes sold. The increase in average selling price per exabyte was due to a shift in product mix to our higher capacity drives. The decrease in exabytes sold was driven by lower demand in the first three months of the year.</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Consumer revenue decreased by 3% for the three months ended January 2, 2026 from the comparable period in the prior year, driven by a 5% decrease in exabytes sold, partially offset by a 3% increase in average selling price per exabyte, both of which reflect variations in product mix and demand. Consumer revenue decreased by 2% for the six months ended January 2, 2026 from the comparable period in the prior year, driven by a 2% decrease in average selling price per exabyte while volume remained relatively flat, which reflects routine variations in product mix and demand.</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mix of net revenue by geography for the three months ended January 2, 2026 was relatively consistent with the comparable period in the prior year. The mix of net revenue by geography for the six months ended January 2, 2026 compared to the comparable period in the prior year reflects higher revenue in the Asia and Europe, Middle East and Africa regions as customers expanded data center capacity in these regions in the first three months of the year.</w:t>
      </w:r>
    </w:p>
    <w:p>
      <w:pPr>
        <w:spacing w:after="0" w:line="20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top 10 customers accounted for 76% and 77%, respectively, of our net revenue for the three and six months ended January 2, 2026, compared to 67% and 65%, respectively, of our net revenue for the three and six months ended December 27, 2024. For the three months ended January 2, 2026, three customers accounted for 15%, 14%, and 14%, respectively, of our net revenue, and for the three months ended December 27, 2024, two customers accounted for 18% and 13%, respectively, of our net revenue. For the six months ended January 2, 2026, three customers accounted for 17%, 15%, and 14%, respectively, of our net revenue, and for the six months ended December 27, 2024, two customers accounted for 18% and 11%, respectively, of our net revenue.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Gross profit increased by $473 million for the three months ended January 2, 2026 from the comparable period in the prior year, due to an increased volume of shipments, a lower cost structure on our newer generation products and improved pricing on our higher capacity drives. Gross margin increased by 8 percentage points year over year, primarily due to a lower cost structure on our newer generation products and improved pricing on our higher capacity drives. Gross profit increased by $894 million for the six months ended January 2, 2026 from the comparable period in the prior year and gross margin increased by 8 percentage points year over year, primarily due to the same factors noted for the three-month period above.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 increased by $64 million for the three months ended January 2, 2026 from the comparable period in the prior year. The increase was attributable to higher variable compensation, as a result of our company performance and further investment for innovation, technology and product development. R&amp;D expense increased by $96 million for the six months ended January 2, 2026 from the comparable period in the prior year. The increase was driven by the same factors noted for the three-month period above. In future periods, we expect modest increases in R&amp;D as we continue to innovate and develop higher capacity and performance HDD.</w:t>
      </w:r>
    </w:p>
    <w:p>
      <w:pPr>
        <w:spacing w:after="0" w:line="2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 was relatively flat for the three months ended January 2, 2026 from the comparable period in the prior year, which reflects approximately $30 million of higher variable compensation, as a result of our company performance, offset by general corporate overhead roles in the prior year that have since transferred to Sandisk and were not backfilled after the Separation. SG&amp;A expense decreased by $70 million for the six months ended January 2, 2026 from the comparable period in the prior year. The decrease reflects $37 million of lower compensation and benefits in the first three months of the year, which was driven by certain general corporate overhead roles in the prior year that have since transferred to Sandisk and were not backfilled after the Separation. The decrease also reflects $30 million of lower service fees resulting from reduced marketing activities and legal costs in the first three months of the year.</w:t>
      </w:r>
    </w:p>
    <w:p>
      <w:pPr>
        <w:spacing w:after="0" w:line="21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litigation matters, see Part I, Item 1,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185" w:lineRule="exact"/>
        <w:rPr>
          <w:sz w:val="20"/>
          <w:szCs w:val="20"/>
          <w:color w:val="auto"/>
        </w:rPr>
      </w:pPr>
    </w:p>
    <w:p>
      <w:pPr>
        <w:ind w:right="84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Business realignment charges, see Part I, Item 1, Note 10, </w:t>
      </w:r>
      <w:r>
        <w:rPr>
          <w:rFonts w:ascii="Times New Roman" w:cs="Times New Roman" w:eastAsia="Times New Roman" w:hAnsi="Times New Roman"/>
          <w:sz w:val="18"/>
          <w:szCs w:val="18"/>
          <w:i w:val="1"/>
          <w:iCs w:val="1"/>
          <w:color w:val="auto"/>
        </w:rPr>
        <w:t>Business Realignment Charges,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interest and other income (expense), changed by $1.15 billion for the three months ended January 2, 2026 from the comparable period in the prior year. The change reflects an unrealized gain of $1.10 billion on our retained interest in Sandisk based on the mark-to-market value as of January 2, 2026, and lower interest expense of $39 million, which reflects the reduction in our debt. Total interest and other income (expense), changed by $1.78 billion for the six months ended January 2, 2026 from the comparable period in the prior year. The change primarily reflects an unrealized gain of $1.71 billion on our retained interest in Sandisk based on the mark-to-market value as of January 2, 2026, and lower interest expense of $79 million, which reflects the reduction in our debt.</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Previously, the Tax Cuts and Jobs Act of 2017 (“TCJA”) eliminated the ability to deduct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2026. The legislation also includes favorable modifications to international tax provisions, including changes to the Global Intangible Low-Taxed Income regime and enhancements to the Foreign-Derived Deduction Eligible Income (“FDDEI”) deduction that will become effective for us in 2027.</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which contained, among other things, a corporate alternative minimum tax (“CAMT”) of 15% on corporations with three-year average annual adjusted financial statement income (“AFSI”) exceeding $1.0 billion. Although CAMT became effective for us beginning with 2024, we were not subject to CAMT for 2024 and 2025. We do not expect to be subject to CAMT in 2026 as our annual average AFSI did not exceed $1.0 billion for the preceding three-year period.</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For 2026, we are subject to GMT in Malaysia, Thailand, and the Philippines.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600" w:type="dxa"/>
            <w:vAlign w:val="bottom"/>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304"/>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00" w:type="dxa"/>
            <w:vAlign w:val="bottom"/>
          </w:tcPr>
          <w:p>
            <w:pPr>
              <w:spacing w:after="0"/>
              <w:rPr>
                <w:sz w:val="11"/>
                <w:szCs w:val="11"/>
                <w:color w:val="auto"/>
              </w:rPr>
            </w:pPr>
          </w:p>
        </w:tc>
        <w:tc>
          <w:tcPr>
            <w:tcW w:w="124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jc w:val="right"/>
              <w:ind w:right="304"/>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00" w:type="dxa"/>
            <w:vAlign w:val="bottom"/>
          </w:tcPr>
          <w:p>
            <w:pPr>
              <w:spacing w:after="0"/>
              <w:rPr>
                <w:sz w:val="11"/>
                <w:szCs w:val="11"/>
                <w:color w:val="auto"/>
              </w:rPr>
            </w:pPr>
          </w:p>
        </w:tc>
        <w:tc>
          <w:tcPr>
            <w:tcW w:w="1240" w:type="dxa"/>
            <w:vAlign w:val="bottom"/>
          </w:tcPr>
          <w:p>
            <w:pPr>
              <w:jc w:val="right"/>
              <w:ind w:right="223"/>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6"/>
        </w:trPr>
        <w:tc>
          <w:tcPr>
            <w:tcW w:w="5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1,962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3,299</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709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120</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275</w:t>
            </w:r>
          </w:p>
        </w:tc>
        <w:tc>
          <w:tcPr>
            <w:tcW w:w="30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-548005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January 2, 2026 and the U.S. Federal statutory rate of 21% are the relative mix of earnings and losses by jurisdiction, the deduction for FDDEI, tax credits, and the gain on the retained interest in Sandisk being tax-free due to the Separation of the Flash business. These resulted in decreases to our effective tax rate below the U.S. Federal statutory rate for the three and six months ended January 2, 2026. Our income tax provision for the three and six months ended January 2, 2026 includes GMT for Malaysia as well as Thailand and the Philippines, countries for which we maintain tax holidays.</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December 27, 2024 and the U.S. Federal statutory rate of 21% were the relative mix of earnings and losses by jurisdiction, tax credits, and tax holidays in Thailand and the Philippines. In addition, the effective tax rate for the six months ended December 27, 2024 includes the discrete effect of a net decrease of $30 million to the liability for unrecognized tax benefits, which includes interest and offsetting tax benefits, as a result of adjustments to align with U.S. Internal Revenue Service (“IRS”) calculations.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 xml:space="preserve">The following table summarizes our statements of cash flows. Cash flows for the prior year period are presented on a consolidated basis and activity related to discontinued operations has not been segregated. See Part I, Item 1, Note 4,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of the Notes to Condensed Consolidated Financial Statements included in this Quarterly Report on Form 10-Q for additional cash flow information related to our discontinued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Pr>
          <w:p>
            <w:pPr>
              <w:spacing w:after="0"/>
              <w:rPr>
                <w:sz w:val="11"/>
                <w:szCs w:val="11"/>
                <w:color w:val="auto"/>
              </w:rPr>
            </w:pPr>
          </w:p>
        </w:tc>
        <w:tc>
          <w:tcPr>
            <w:tcW w:w="1240" w:type="dxa"/>
            <w:vAlign w:val="bottom"/>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106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-1002665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August 2024, we filed a shelf registration statement (the “Shelf Registration Statement”) with the Securities and Exchange Commission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expect our capital expenditures for 2026 to be approximately 4% to 6% of our net revenue.</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believe our cash and cash equivalents and our available 2027 Revolving Credit Facility (as defined below) will be sufficient to meet our working capital, debt, dividend and capital expenditure needs for at least the next twelve months and for the foreseeable future thereafter. We believe we can also access the various debt and equity capital markets to further supplement our liquidity position if necessary. Our ability to sustain our working capital position is subject to a number of risks that we discuss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and in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our 2025 Annual Report on Form 10-K.</w:t>
      </w: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total of $1.35 billion and $0.98 billion of our cash and cash equivalents was held by our foreign subsidiaries as of January 2, 2026 and June 27, 2025, respectively. There are no material tax consequences that were not previously accrued for on the repatriation of this cash.</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primarily consists of net income, adjusted for non-cash charges, plus or minus changes in operating assets and liabilities. Net cash used for changes in operating assets and liabilities was $275 million for the six months ended January 2, 2026, compared to $1.04 billion for the six months ended December 27, 2024. The year over year decrease largely reflects a $232 million improvement in timing and collection of accounts receivable, a $127 million improvement from accrued compensation resulting from amount and timing of payment of variable compensation, and a $906 million improvement in other assets and liabilities driven by the timing of recognition and realization of income taxes receivable. These were partially offset by a $520 million increase in cash used driven by the timing of recognition and payment of income taxes.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January 2, 2026 primarily consisted of $165 million in capital expenditures. Net cash provided by investing activities for the six months ended December 27, 2024 primarily consisted of $191 million in net proceeds from our sale of a majority interest in one of our subsidiaries and $92 million in net proceeds from activity related to Flash Ventures, partially offset by $208 million in capital expenditures, net of proceeds from disposals of assets.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January 2, 2026 primarily consisted of $1.17 billion for share repurchases, $87 million for dividends on our common stock and Preferred Shares, $95 million for taxes paid on vested stock awards under employee stock plans, and $63 million for scheduled repayments on our term loan. These uses were partially offset by $32 million of proceeds from the issuance of stock under employee stock plans. Net cash used in financing activities for the six months ended December 27, 2024 primarily consisted of $225 million for repayment of amounts borrowed under the revolving credit facility and scheduled repayments on our term loan and $80 million for taxes paid on vested stock awards under employee stock plans, partially offset by $150 million of proceeds from drawing on the revolving credit facility and $52 million of proceeds from the issuance of stock under employee stock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Other than certain indemnification provisions (see “Short- and Long-term Liquidity – </w:t>
      </w:r>
      <w:r>
        <w:rPr>
          <w:rFonts w:ascii="Times New Roman" w:cs="Times New Roman" w:eastAsia="Times New Roman" w:hAnsi="Times New Roman"/>
          <w:sz w:val="18"/>
          <w:szCs w:val="18"/>
          <w:i w:val="1"/>
          <w:iCs w:val="1"/>
          <w:color w:val="auto"/>
        </w:rPr>
        <w:t>Purchase Obligations and Other Commitments</w:t>
      </w:r>
      <w:r>
        <w:rPr>
          <w:rFonts w:ascii="Times New Roman" w:cs="Times New Roman" w:eastAsia="Times New Roman" w:hAnsi="Times New Roman"/>
          <w:sz w:val="18"/>
          <w:szCs w:val="18"/>
          <w:color w:val="auto"/>
        </w:rPr>
        <w:t>”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variable interest entities.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54" w:lineRule="exact"/>
        <w:rPr>
          <w:sz w:val="20"/>
          <w:szCs w:val="20"/>
          <w:color w:val="auto"/>
        </w:rPr>
      </w:pPr>
    </w:p>
    <w:p>
      <w:pPr>
        <w:ind w:right="100" w:firstLine="243"/>
        <w:spacing w:after="0" w:line="263" w:lineRule="auto"/>
        <w:rPr>
          <w:sz w:val="20"/>
          <w:szCs w:val="20"/>
          <w:color w:val="auto"/>
        </w:rPr>
      </w:pPr>
      <w:r>
        <w:rPr>
          <w:rFonts w:ascii="Times New Roman" w:cs="Times New Roman" w:eastAsia="Times New Roman" w:hAnsi="Times New Roman"/>
          <w:sz w:val="18"/>
          <w:szCs w:val="18"/>
          <w:color w:val="auto"/>
        </w:rPr>
        <w:t>The following is a summary of our known material cash requirements as of January 2, 2026. In addition, see the discussions further below related to liability for unrecognized tax benefits, litigation matters, cash dividend program, dividend rights with respect to the Preferred Shares, global minimum tax, foreign exchange contracts and indemnifications.</w:t>
      </w: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40"/>
              <w:spacing w:after="0" w:line="150" w:lineRule="exact"/>
              <w:rPr>
                <w:sz w:val="20"/>
                <w:szCs w:val="20"/>
                <w:color w:val="auto"/>
              </w:rPr>
            </w:pPr>
            <w:r>
              <w:rPr>
                <w:rFonts w:ascii="Times New Roman" w:cs="Times New Roman" w:eastAsia="Times New Roman" w:hAnsi="Times New Roman"/>
                <w:sz w:val="14"/>
                <w:szCs w:val="14"/>
                <w:b w:val="1"/>
                <w:bCs w:val="1"/>
                <w:color w:val="auto"/>
              </w:rPr>
              <w:t>1 Year (Remaining</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2-3 Years (2027-</w:t>
            </w:r>
          </w:p>
        </w:tc>
        <w:tc>
          <w:tcPr>
            <w:tcW w:w="1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 (2029-</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Six Months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(Beyond 2030)</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2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1"/>
                <w:szCs w:val="21"/>
                <w:color w:val="auto"/>
                <w:vertAlign w:val="superscript"/>
              </w:rPr>
              <w:t>(1)</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5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-950595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-950595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-950595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-950595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issuance costs.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Liability for Unrecognized Tax Benefits</w:t>
      </w:r>
    </w:p>
    <w:p>
      <w:pPr>
        <w:spacing w:after="0" w:line="2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January 2, 2026, the liability for unrecognized tax benefits (excluding accrued interest and penalties) was $607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January 2, 2026 was $97 million. Of these amounts, approximately $130 million could result in potential cash payments to be made within the next twelve months.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5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litigation matters, see Part I, Item 1,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Dividend Program</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April 29, 2025, our Board of Directors authorized the adoption of a cash dividend program. Under the cash dividend program, holders of our common stock will receive dividends when and as declared by our Board of Directors. During the three months ended January 2, 2026, we paid cash dividends of $0.125 per share of our outstanding common stock, totaling $43 million, plus $1 million paid to holders of our Preferred Shares in accordance with their participation rights. During the six months ended January 2, 2026, we paid aggregate cash dividends of $0.225 per share of our outstanding common stock, totaling $77 million, plus $2 million paid to holders of our Preferred Shares in accordance with their participation rights.</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Subsequent to quarter-end, on January 28, 2026, our Board of Directors declared a cash dividend of $0.125 per share of our common stock, which will be paid on March 18, 2026 to our shareholders of record as of the close of business on March 5, 2026.</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modify, suspend, or cancel our cash dividend program in any manner and at any time. The amount of future dividends under our cash dividend program, and the declaration and payment thereof, will be based upon all relevant factors, including our financial position, results of operations, cash flows, capital requirements and restrictions under our Loan Agreement and other financing agreements, and shall be in compliance with applicable law.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As of January 2, 2026, 235,000 shares of our Preferred Shares remained outstanding. These shares are entitled to cumulative preferred dividends and will also participate in any dividends declared for common shareholders on an as-converted equivalent basis. See Part II, Item 8, Note 12,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Convertible Preferred Stock, </w:t>
      </w:r>
      <w:r>
        <w:rPr>
          <w:rFonts w:ascii="Times New Roman" w:cs="Times New Roman" w:eastAsia="Times New Roman" w:hAnsi="Times New Roman"/>
          <w:sz w:val="18"/>
          <w:szCs w:val="18"/>
          <w:color w:val="auto"/>
        </w:rPr>
        <w:t>of the Notes to Consolidated Financial Statements in our 2025 Annual Report on Form 10-K and Part I, Item 1, Note 12,</w:t>
      </w:r>
      <w:r>
        <w:rPr>
          <w:rFonts w:ascii="Times New Roman" w:cs="Times New Roman" w:eastAsia="Times New Roman" w:hAnsi="Times New Roman"/>
          <w:sz w:val="18"/>
          <w:szCs w:val="18"/>
          <w:i w:val="1"/>
          <w:iCs w:val="1"/>
          <w:color w:val="auto"/>
        </w:rPr>
        <w:t xml:space="preserve"> Shareholders’ Equity and Convertible Preferred Stock</w:t>
      </w:r>
      <w:r>
        <w:rPr>
          <w:rFonts w:ascii="Times New Roman" w:cs="Times New Roman" w:eastAsia="Times New Roman" w:hAnsi="Times New Roman"/>
          <w:sz w:val="18"/>
          <w:szCs w:val="18"/>
          <w:color w:val="auto"/>
        </w:rPr>
        <w:t>, of the Notes to Condensed Consolidated Financial Statements included in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 for more information regarding the dividend provisions.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 described in Part I, Item 1,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the Company issued $1.60 billion aggregate principal amount of convertible senior notes in November 2023, which bear interest at an annual rate of 3.00% and mature on November 15, 2028 (the “2028 Convertible Notes”). The 2028 Convertible Notes are convertible at the option of any holder beginning August 15, 2028 at a conversion price of approximately $37.74 per share of common stock (as adjusted in accordance with the indenture as a result of the Separation and the payment of dividends on the Company’s common stock). Prior to August 15, 2028, if the trading price of our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 On or after November 15, 2026, we may redeem for cash, at par plus accrued interest, all or any portion of the 2028 Convertible Notes, at our option, if the last reported sale price of our common stock has been at least 130% of the conversion price then in effect for at least 10 trading days during any 20 consecutive trading day period immediately preceding the date of our redemption notice.</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sale price conditional conversion feature of the 2028 Convertible Notes was triggered during the calendar quarter ended December 31, 2025 and, accordingly, the holders of the 2028 Convertible Notes have the right to convert the notes during the succeeding calendar quarter ending March 31, 2026. As a result, the 2028 Convertible Notes have been classified in Current portion of long-term debt in the Condensed Consolidated Financial Statements as of January 2, 2026. The Company will continue to evaluate the conversion feature quarterly to determine if the 2028 Convertible Notes remain convertible in future periods.</w:t>
      </w:r>
    </w:p>
    <w:p>
      <w:pPr>
        <w:spacing w:after="0" w:line="21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outstanding debt, as of January 2, 2026, we had $1.25 billion available for borrowing under our revolving credit facility maturing in January 2027 (the “2027 Revolving Credit Facility”),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The Loan Agreement requires us to comply with a financial leverage ratio covenant. As of January 2, 2026, we were in compliance with the financial covenant. Additional information regarding our indebtedness, including information about availability under our 2027 Revolving Credit Facility and the principal repayment terms, interest rates, covenants, collateral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included in our 2025 Annual Report on Form 10-K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Part I, Item 1 of this Quarterly Report on Form 10-Q.</w:t>
      </w:r>
    </w:p>
    <w:p>
      <w:pPr>
        <w:spacing w:after="0" w:line="2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following tables include summarized financial information for the Obligor Group. The financial information for the Obligor Group is presented on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of the Obligor Group include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440" w:type="dxa"/>
            <w:vAlign w:val="bottom"/>
          </w:tcPr>
          <w:p>
            <w:pPr>
              <w:spacing w:after="0"/>
              <w:rPr>
                <w:sz w:val="13"/>
                <w:szCs w:val="13"/>
                <w:color w:val="auto"/>
              </w:rPr>
            </w:pPr>
          </w:p>
        </w:tc>
        <w:tc>
          <w:tcPr>
            <w:tcW w:w="10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4,281</w:t>
            </w:r>
          </w:p>
        </w:tc>
        <w:tc>
          <w:tcPr>
            <w:tcW w:w="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2,992</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40" w:type="dxa"/>
            <w:vAlign w:val="bottom"/>
          </w:tcPr>
          <w:p>
            <w:pPr>
              <w:spacing w:after="0"/>
              <w:rPr>
                <w:sz w:val="18"/>
                <w:szCs w:val="18"/>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4,478</w:t>
            </w:r>
          </w:p>
        </w:tc>
        <w:tc>
          <w:tcPr>
            <w:tcW w:w="440" w:type="dxa"/>
            <w:vAlign w:val="bottom"/>
          </w:tcPr>
          <w:p>
            <w:pPr>
              <w:spacing w:after="0"/>
              <w:rPr>
                <w:sz w:val="18"/>
                <w:szCs w:val="18"/>
                <w:color w:val="auto"/>
              </w:rPr>
            </w:pPr>
          </w:p>
        </w:tc>
        <w:tc>
          <w:tcPr>
            <w:tcW w:w="104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rPr>
              <w:t>4,553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intercompany payables to non-guarantor subsidiaries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(924)</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rPr>
              <w:t>(1,543)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3,310</w:t>
            </w:r>
          </w:p>
        </w:tc>
        <w:tc>
          <w:tcPr>
            <w:tcW w:w="440" w:type="dxa"/>
            <w:vAlign w:val="bottom"/>
          </w:tcPr>
          <w:p>
            <w:pPr>
              <w:spacing w:after="0"/>
              <w:rPr>
                <w:sz w:val="18"/>
                <w:szCs w:val="18"/>
                <w:color w:val="auto"/>
              </w:rPr>
            </w:pPr>
          </w:p>
        </w:tc>
        <w:tc>
          <w:tcPr>
            <w:tcW w:w="104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rPr>
              <w:t>3,800</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2,822</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2,873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-822325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Obligor Group include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6"/>
                <w:szCs w:val="16"/>
                <w:color w:val="auto"/>
              </w:rPr>
            </w:pPr>
          </w:p>
        </w:tc>
        <w:tc>
          <w:tcPr>
            <w:tcW w:w="1100" w:type="dxa"/>
            <w:vAlign w:val="bottom"/>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8"/>
        </w:trPr>
        <w:tc>
          <w:tcPr>
            <w:tcW w:w="8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64"/>
              <w:spacing w:after="0" w:line="15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400" w:type="dxa"/>
            <w:vAlign w:val="bottom"/>
          </w:tcPr>
          <w:p>
            <w:pPr>
              <w:spacing w:after="0"/>
              <w:rPr>
                <w:sz w:val="13"/>
                <w:szCs w:val="13"/>
                <w:color w:val="auto"/>
              </w:rPr>
            </w:pPr>
          </w:p>
        </w:tc>
        <w:tc>
          <w:tcPr>
            <w:tcW w:w="1100" w:type="dxa"/>
            <w:vAlign w:val="bottom"/>
          </w:tcPr>
          <w:p>
            <w:pPr>
              <w:jc w:val="center"/>
              <w:ind w:right="263"/>
              <w:spacing w:after="0" w:line="159" w:lineRule="exact"/>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8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7"/>
                <w:szCs w:val="17"/>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2,457</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spacing w:after="0"/>
              <w:rPr>
                <w:sz w:val="18"/>
                <w:szCs w:val="18"/>
                <w:color w:val="auto"/>
              </w:rPr>
            </w:pP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973</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252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1,665</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-681355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Obligor Group include the following transactions with non-guarantor subsidiaries: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6"/>
                <w:szCs w:val="16"/>
                <w:color w:val="auto"/>
              </w:rPr>
            </w:pPr>
          </w:p>
        </w:tc>
        <w:tc>
          <w:tcPr>
            <w:tcW w:w="11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1"/>
        </w:trPr>
        <w:tc>
          <w:tcPr>
            <w:tcW w:w="8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3"/>
                <w:szCs w:val="13"/>
                <w:color w:val="auto"/>
              </w:rPr>
            </w:pPr>
          </w:p>
        </w:tc>
        <w:tc>
          <w:tcPr>
            <w:tcW w:w="11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5"/>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6"/>
                <w:szCs w:val="16"/>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3,499</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intercompany interest income (expense)</w:t>
            </w:r>
          </w:p>
        </w:tc>
        <w:tc>
          <w:tcPr>
            <w:tcW w:w="120" w:type="dxa"/>
            <w:vAlign w:val="bottom"/>
          </w:tcPr>
          <w:p>
            <w:pPr>
              <w:spacing w:after="0"/>
              <w:rPr>
                <w:sz w:val="18"/>
                <w:szCs w:val="18"/>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dividend income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-548005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Global Minimum Tax</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 2026, we have accrued GMT of $42 million that are not expected to be paid until the second quarter of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Please refer to Part II, Item 7 of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 discussion of our critical accounting policies and estimates.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market risk exposure during the six months ended January 2, 2026 from those disclosed in Part II, Item 7A, </w:t>
      </w: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in our 2025 Annual Report on Form 10-K.</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performed sensitivity analyses as of January 2, 2026,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January 2, 2026. The sensitivity analyses indicated that a hypothetical 10% adverse movement in foreign currency exchange rates relative to the U.S. dollar would result in a foreign exchange fair value loss of $78 million at January 2, 2026.</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generally held a balance of fixed and variable rate debt. As of January 2, 2026, our variable rate debt outstanding consisted of our Term Loan A-3, which is based on various index rates as discussed further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included in our 2025 Annual Report on Form 10-K. As of January 2, 2026, the outstanding balance on our variable rate debt was $1.59 billion and a one percent increase in the variable rate of interest would increase our annual interest expense by $16 million.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quarter ended January 2, 2026, we implemented new information technology systems supporting our revenue-related processes and made corresponding changes in our internal control over financial reporting. The implementation was not made in response to any deficiency in our internal controls. There were no additional changes in our internal control over financial reporting during the quarter that have materially affected, or are reasonably likely to materially affect, our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4"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for disclosures regarding certain legal proceedings, which are incorporated by reference herein.</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2025 Annual Report on Form 10-K a number of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Part I, Item 1A of our 2025 Annual Report on Form 10-K.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The following table provides information about repurchases by us of shares of our common stock during the quarter ended </w:t>
      </w:r>
      <w:r>
        <w:rPr>
          <w:rFonts w:ascii="Times New Roman" w:cs="Times New Roman" w:eastAsia="Times New Roman" w:hAnsi="Times New Roman"/>
          <w:sz w:val="18"/>
          <w:szCs w:val="18"/>
          <w:color w:val="000000"/>
        </w:rPr>
        <w:t>January 2,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average price paid per share)</w:t>
            </w: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9"/>
                <w:szCs w:val="9"/>
                <w:b w:val="1"/>
                <w:bCs w:val="1"/>
                <w:color w:val="auto"/>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43"/>
              <w:spacing w:after="0" w:line="202" w:lineRule="exact"/>
              <w:rPr>
                <w:sz w:val="20"/>
                <w:szCs w:val="20"/>
                <w:color w:val="auto"/>
              </w:rPr>
            </w:pPr>
            <w:r>
              <w:rPr>
                <w:rFonts w:ascii="Times New Roman" w:cs="Times New Roman" w:eastAsia="Times New Roman" w:hAnsi="Times New Roman"/>
                <w:sz w:val="14"/>
                <w:szCs w:val="14"/>
                <w:b w:val="1"/>
                <w:bCs w:val="1"/>
                <w:color w:val="auto"/>
                <w:w w:val="97"/>
              </w:rPr>
              <w:t>the Program</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 4, 2025 - Oct.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 1, 2025 - Nov. 28,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 29, 2025 - Jan. 2, 2026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0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for the quarter ended Jan. 2, 2026</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162.01</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22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commissions.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36" w:lineRule="auto"/>
        <w:tabs>
          <w:tab w:leader="none" w:pos="33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May 9, 2025, our Board of Directors authorized a share repurchase program for the repurchase of up to $2.0 billion of our common stock. There is no expiration date for the share repurchase program. Repurchases under the share repurchase program may be made in the open market or in privately negotiated transactions and may be made under a Rule 10b5-1 plan. We expect share repurchases to be funded principally by operating cash flows. The amount and timing of share repurchases will depend on market conditions and other corporate considerations. We may suspend or discontinue the share repurchase program at any time.</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January 2, 2026, the following director or officer (as defined in Rule 16a-1(f) of the Exchange Act) adopted a trading arrangement for the purchase or sale of securities of Western Digital that is intended to satisfy the affirmative defense conditions of Rule 10b5-1(c) of the Exchange Act (“Rule 10b5-1 Plan”):</w:t>
      </w:r>
    </w:p>
    <w:p>
      <w:pPr>
        <w:spacing w:after="0" w:line="203" w:lineRule="exact"/>
        <w:rPr>
          <w:sz w:val="20"/>
          <w:szCs w:val="20"/>
          <w:color w:val="auto"/>
        </w:rPr>
      </w:pPr>
    </w:p>
    <w:p>
      <w:pPr>
        <w:ind w:left="660" w:right="8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Scott Davis, Executive Vice President and Chief Sales and Marketing Officer of the Company, adopted a Rule 10b5-1 Plan on November 3, 2025. Under this plan, up to an aggregate of 30,000 shares of the Company’s common stock may be sold before the plan expires on August 14, 2026.</w:t>
      </w:r>
    </w:p>
    <w:p>
      <w:pPr>
        <w:spacing w:after="0" w:line="202"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E. Massengill, a director of the Company, adopted a Rule 10b5-1 Plan on November 6, 2025. Under this plan, up to an aggregate of 36,926 shares of the Company’s common stock may be sold before the plan expires on May 15,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exhibits listed in the Exhibit Index below are filed or furnished with, or incorporated by reference in, this Quarterly Report on Form 10-Q, as specified in the Exhibit List.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97"/>
        </w:trPr>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Exhibit</w:t>
            </w:r>
          </w:p>
        </w:tc>
        <w:tc>
          <w:tcPr>
            <w:tcW w:w="10000" w:type="dxa"/>
            <w:vAlign w:val="bottom"/>
            <w:vMerge w:val="restart"/>
          </w:tcPr>
          <w:p>
            <w:pPr>
              <w:ind w:left="4620"/>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Number</w:t>
            </w:r>
          </w:p>
        </w:tc>
        <w:tc>
          <w:tcPr>
            <w:tcW w:w="10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60" w:type="dxa"/>
            <w:vAlign w:val="bottom"/>
            <w:tcBorders>
              <w:top w:val="single" w:sz="8" w:color="auto"/>
            </w:tcBorders>
            <w:gridSpan w:val="3"/>
            <w:shd w:val="clear" w:color="auto" w:fill="CCEEFF"/>
          </w:tcPr>
          <w:p>
            <w:pPr>
              <w:jc w:val="center"/>
              <w:ind w:left="379"/>
              <w:spacing w:after="0" w:line="172" w:lineRule="exact"/>
              <w:rPr>
                <w:rFonts w:ascii="Times New Roman" w:cs="Times New Roman" w:eastAsia="Times New Roman" w:hAnsi="Times New Roman"/>
                <w:sz w:val="16"/>
                <w:szCs w:val="16"/>
                <w:color w:val="0000FF"/>
                <w:w w:val="99"/>
              </w:rPr>
            </w:pPr>
            <w:hyperlink r:id="rId130">
              <w:r>
                <w:rPr>
                  <w:rFonts w:ascii="Times New Roman" w:cs="Times New Roman" w:eastAsia="Times New Roman" w:hAnsi="Times New Roman"/>
                  <w:sz w:val="16"/>
                  <w:szCs w:val="16"/>
                  <w:color w:val="0000FF"/>
                  <w:w w:val="99"/>
                </w:rPr>
                <w:t>2.</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Separation and Distribution Agreement, dated as of February 21, 2025, by and between Western Digital Corporation and Sandisk Corporation</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(incorporated by reference to Exhibit 2.1 of the Current Report on Form 8-K filed by the Company on February 24, 2025)#</w:t>
            </w:r>
          </w:p>
        </w:tc>
        <w:tc>
          <w:tcPr>
            <w:tcW w:w="0" w:type="dxa"/>
            <w:vAlign w:val="bottom"/>
          </w:tcPr>
          <w:p>
            <w:pPr>
              <w:spacing w:after="0"/>
              <w:rPr>
                <w:sz w:val="1"/>
                <w:szCs w:val="1"/>
                <w:color w:val="auto"/>
              </w:rPr>
            </w:pPr>
          </w:p>
        </w:tc>
      </w:tr>
      <w:tr>
        <w:trPr>
          <w:trHeight w:val="175"/>
        </w:trPr>
        <w:tc>
          <w:tcPr>
            <w:tcW w:w="660" w:type="dxa"/>
            <w:vAlign w:val="bottom"/>
            <w:gridSpan w:val="3"/>
          </w:tcPr>
          <w:p>
            <w:pPr>
              <w:jc w:val="center"/>
              <w:ind w:left="379"/>
              <w:spacing w:after="0" w:line="175"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Certificate of Incorporation of Western Digital Corporation, as amended to date (incorporated by reference to Exhibit 3.1 to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Annual Report on Form 10-K filed by the Company on August 20, 2024)</w:t>
            </w:r>
          </w:p>
        </w:tc>
        <w:tc>
          <w:tcPr>
            <w:tcW w:w="0" w:type="dxa"/>
            <w:vAlign w:val="bottom"/>
          </w:tcPr>
          <w:p>
            <w:pPr>
              <w:spacing w:after="0"/>
              <w:rPr>
                <w:sz w:val="1"/>
                <w:szCs w:val="1"/>
                <w:color w:val="auto"/>
              </w:rPr>
            </w:pPr>
          </w:p>
        </w:tc>
      </w:tr>
      <w:tr>
        <w:trPr>
          <w:trHeight w:val="176"/>
        </w:trPr>
        <w:tc>
          <w:tcPr>
            <w:tcW w:w="660" w:type="dxa"/>
            <w:vAlign w:val="bottom"/>
            <w:gridSpan w:val="3"/>
            <w:shd w:val="clear" w:color="auto" w:fill="CCEEFF"/>
          </w:tcPr>
          <w:p>
            <w:pPr>
              <w:jc w:val="center"/>
              <w:ind w:left="379"/>
              <w:spacing w:after="0" w:line="175" w:lineRule="exact"/>
              <w:rPr>
                <w:rFonts w:ascii="Times New Roman" w:cs="Times New Roman" w:eastAsia="Times New Roman" w:hAnsi="Times New Roman"/>
                <w:sz w:val="16"/>
                <w:szCs w:val="16"/>
                <w:color w:val="0000FF"/>
                <w:w w:val="99"/>
              </w:rPr>
            </w:pPr>
            <w:hyperlink r:id="rId13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Certificate of Designations, Preferences and Rights of Series A Convertible Perpetual Preferred Stock (incorporated by reference to Exhibit 3.1 to the</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by the Company on February 1, 2023)</w:t>
            </w:r>
          </w:p>
        </w:tc>
        <w:tc>
          <w:tcPr>
            <w:tcW w:w="0" w:type="dxa"/>
            <w:vAlign w:val="bottom"/>
          </w:tcPr>
          <w:p>
            <w:pPr>
              <w:spacing w:after="0"/>
              <w:rPr>
                <w:sz w:val="1"/>
                <w:szCs w:val="1"/>
                <w:color w:val="auto"/>
              </w:rPr>
            </w:pPr>
          </w:p>
        </w:tc>
      </w:tr>
      <w:tr>
        <w:trPr>
          <w:trHeight w:val="176"/>
        </w:trPr>
        <w:tc>
          <w:tcPr>
            <w:tcW w:w="660" w:type="dxa"/>
            <w:vAlign w:val="bottom"/>
            <w:gridSpan w:val="3"/>
          </w:tcPr>
          <w:p>
            <w:pPr>
              <w:jc w:val="center"/>
              <w:ind w:left="379"/>
              <w:spacing w:after="0" w:line="175" w:lineRule="exact"/>
              <w:rPr>
                <w:rFonts w:ascii="Times New Roman" w:cs="Times New Roman" w:eastAsia="Times New Roman" w:hAnsi="Times New Roman"/>
                <w:sz w:val="16"/>
                <w:szCs w:val="16"/>
                <w:color w:val="0000FF"/>
                <w:w w:val="99"/>
              </w:rPr>
            </w:pPr>
            <w:hyperlink r:id="rId13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Bylaws of Western Digital Corporation, as amended effective as of March 13, 2025 (incorporated by reference to Exhibit 3.1 to</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the Current Report on Form 8-K filed by the Company on March 13, 2025)</w:t>
            </w:r>
          </w:p>
        </w:tc>
        <w:tc>
          <w:tcPr>
            <w:tcW w:w="0" w:type="dxa"/>
            <w:vAlign w:val="bottom"/>
          </w:tcPr>
          <w:p>
            <w:pPr>
              <w:spacing w:after="0"/>
              <w:rPr>
                <w:sz w:val="1"/>
                <w:szCs w:val="1"/>
                <w:color w:val="auto"/>
              </w:rPr>
            </w:pPr>
          </w:p>
        </w:tc>
      </w:tr>
      <w:tr>
        <w:trPr>
          <w:trHeight w:val="175"/>
        </w:trPr>
        <w:tc>
          <w:tcPr>
            <w:tcW w:w="1120" w:type="dxa"/>
            <w:vAlign w:val="bottom"/>
            <w:gridSpan w:val="5"/>
            <w:shd w:val="clear" w:color="auto" w:fill="CCEEFF"/>
          </w:tcPr>
          <w:p>
            <w:pPr>
              <w:jc w:val="cente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hyperlink>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Western Digital Corporation Amended and Restated 2005 Employee Stock Purchase Plan, amended and restated as of August 27, 2025 (incorporated by</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reference to Exhibit 10.1 of the Current Report on Form 8-K filed by the Company on November 24, 2025)**</w:t>
            </w:r>
          </w:p>
        </w:tc>
        <w:tc>
          <w:tcPr>
            <w:tcW w:w="0" w:type="dxa"/>
            <w:vAlign w:val="bottom"/>
          </w:tcPr>
          <w:p>
            <w:pPr>
              <w:spacing w:after="0"/>
              <w:rPr>
                <w:sz w:val="1"/>
                <w:szCs w:val="1"/>
                <w:color w:val="auto"/>
              </w:rPr>
            </w:pPr>
          </w:p>
        </w:tc>
      </w:tr>
      <w:tr>
        <w:trPr>
          <w:trHeight w:val="176"/>
        </w:trPr>
        <w:tc>
          <w:tcPr>
            <w:tcW w:w="112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40" w:type="dxa"/>
            <w:vAlign w:val="bottom"/>
            <w:gridSpan w:val="6"/>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0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bl>
    <w:p>
      <w:pPr>
        <w:ind w:left="1260" w:hanging="813"/>
        <w:spacing w:after="0"/>
        <w:tabs>
          <w:tab w:leader="none" w:pos="126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formatted in Inline XBRL and contained in Exhibit 101</w:t>
      </w:r>
    </w:p>
    <w:p>
      <w:pPr>
        <w:spacing w:after="0" w:line="328" w:lineRule="exact"/>
        <w:rPr>
          <w:rFonts w:ascii="Times New Roman" w:cs="Times New Roman" w:eastAsia="Times New Roman" w:hAnsi="Times New Roman"/>
          <w:sz w:val="16"/>
          <w:szCs w:val="16"/>
          <w:color w:val="auto"/>
        </w:rPr>
      </w:pPr>
    </w:p>
    <w:p>
      <w:pPr>
        <w:ind w:left="140" w:hanging="132"/>
        <w:spacing w:after="0"/>
        <w:tabs>
          <w:tab w:leader="none" w:pos="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9683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with this report.</w:t>
      </w:r>
    </w:p>
    <w:p>
      <w:pPr>
        <w:spacing w:after="0" w:line="73"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 required to be filed as an exhibit pursuant to applicable rules of the Securities and Exchange Commission.</w:t>
      </w:r>
    </w:p>
    <w:p>
      <w:pPr>
        <w:spacing w:after="0" w:line="26" w:lineRule="exact"/>
        <w:rPr>
          <w:rFonts w:ascii="Times New Roman" w:cs="Times New Roman" w:eastAsia="Times New Roman" w:hAnsi="Times New Roman"/>
          <w:sz w:val="16"/>
          <w:szCs w:val="16"/>
          <w:color w:val="auto"/>
        </w:rPr>
      </w:pPr>
    </w:p>
    <w:p>
      <w:pPr>
        <w:ind w:right="16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Schedules and exhibits have been omitted pursuant to Item 601(a)(5) of Regulation S-K. The Registrant agrees to furnish supplementally a copy of any omitted schedule or exhibit to the U.S.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WESTERN DIGITAL CORPORATION</w:t>
      </w:r>
    </w:p>
    <w:p>
      <w:pPr>
        <w:spacing w:after="0" w:line="194"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6"/>
          <w:szCs w:val="16"/>
          <w:color w:val="auto"/>
        </w:rPr>
        <w:t>By:</w:t>
        <w:tab/>
        <w:t>/s/ Brad Feller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20320</wp:posOffset>
            </wp:positionV>
            <wp:extent cx="27432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Brad Feller</w:t>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i w:val="1"/>
          <w:iCs w:val="1"/>
          <w:color w:val="auto"/>
        </w:rPr>
        <w:t>Senior Vice President and Chief Accounting Officer</w:t>
      </w:r>
    </w:p>
    <w:p>
      <w:pPr>
        <w:spacing w:after="0" w:line="3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(Principal Accounting Officer and Duly Authorized Officer)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2026</w:t>
      </w:r>
    </w:p>
    <w:p>
      <w:pPr>
        <w:spacing w:after="0" w:line="200" w:lineRule="exact"/>
        <w:rPr>
          <w:sz w:val="20"/>
          <w:szCs w:val="20"/>
          <w:color w:val="auto"/>
        </w:rPr>
      </w:pPr>
    </w:p>
    <w:p>
      <w:pPr>
        <w:spacing w:after="0" w:line="36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60"/>
          </w:cols>
          <w:pgMar w:left="320" w:top="121" w:right="8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Irving Tan, certify that:</w:t>
      </w:r>
    </w:p>
    <w:p>
      <w:pPr>
        <w:spacing w:after="0" w:line="104"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220" w:firstLine="8"/>
        <w:spacing w:after="0" w:line="266"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Irving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Irving Tan</w:t>
      </w:r>
    </w:p>
    <w:p>
      <w:pPr>
        <w:spacing w:after="0" w:line="1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2026</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04"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220" w:firstLine="8"/>
        <w:spacing w:after="0" w:line="266"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Kris Sennesael</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2026</w:t>
      </w:r>
    </w:p>
    <w:p>
      <w:pPr>
        <w:sectPr>
          <w:pgSz w:w="11900" w:h="16838" w:orient="portrait"/>
          <w:cols w:equalWidth="0" w:num="1">
            <w:col w:w="11240"/>
          </w:cols>
          <w:pgMar w:left="320" w:top="887" w:right="33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680" w:firstLine="8"/>
        <w:spacing w:after="0" w:line="282" w:lineRule="auto"/>
        <w:tabs>
          <w:tab w:leader="none" w:pos="2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January 2, 2026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Irving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Irving Tan</w:t>
      </w:r>
    </w:p>
    <w:p>
      <w:pPr>
        <w:spacing w:after="0" w:line="1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2026</w:t>
      </w:r>
    </w:p>
    <w:p>
      <w:pPr>
        <w:sectPr>
          <w:pgSz w:w="11900" w:h="16838" w:orient="portrait"/>
          <w:cols w:equalWidth="0" w:num="1">
            <w:col w:w="11240"/>
          </w:cols>
          <w:pgMar w:left="320" w:top="887" w:right="339" w:bottom="1440" w:gutter="0" w:footer="0" w:header="0"/>
        </w:sectPr>
      </w:pPr>
    </w:p>
    <w:bookmarkStart w:id="58" w:name="page59"/>
    <w:bookmarkEnd w:id="58"/>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680" w:firstLine="8"/>
        <w:spacing w:after="0" w:line="282"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January 2, 2026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Kris Sennesael</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lvl w:ilvl="1">
      <w:lvlJc w:val="left"/>
      <w:lvlText w:val="%2"/>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30" Type="http://schemas.openxmlformats.org/officeDocument/2006/relationships/hyperlink" Target="https://www.sec.gov/Archives/edgar/data/106040/000119312525033383/d847507dex21.htm" TargetMode="External"/><Relationship Id="rId131" Type="http://schemas.openxmlformats.org/officeDocument/2006/relationships/hyperlink" Target="https://www.sec.gov/Archives/edgar/data/106040/000010604024000031/wdc-2024q4ex31.htm" TargetMode="External"/><Relationship Id="rId132" Type="http://schemas.openxmlformats.org/officeDocument/2006/relationships/hyperlink" Target="https://www.sec.gov/Archives/edgar/data/106040/000119312523020502/d425756dex31.htm" TargetMode="External"/><Relationship Id="rId133" Type="http://schemas.openxmlformats.org/officeDocument/2006/relationships/hyperlink" Target="https://www.sec.gov/Archives/edgar/data/106040/000119312525054005/d939696dex31.htm" TargetMode="External"/><Relationship Id="rId134" Type="http://schemas.openxmlformats.org/officeDocument/2006/relationships/hyperlink" Target="https://www.sec.gov/Archives/edgar/data/0000106040/000162828025053809/exhibit101-espp2025plana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2026-01-30T06:17:11Z</dcterms:created>
  <dcterms:modified xsi:type="dcterms:W3CDTF">2026-01-30T06:17:11Z</dcterms:modified>
</cp:coreProperties>
</file>