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53975</wp:posOffset>
            </wp:positionV>
            <wp:extent cx="2772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52705</wp:posOffset>
            </wp:positionV>
            <wp:extent cx="2772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41" w:lineRule="exact"/>
        <w:rPr>
          <w:sz w:val="24"/>
          <w:szCs w:val="24"/>
          <w:color w:val="auto"/>
        </w:rPr>
      </w:pPr>
    </w:p>
    <w:p>
      <w:pPr>
        <w:ind w:left="400" w:hanging="377"/>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2023</w:t>
      </w:r>
    </w:p>
    <w:p>
      <w:pPr>
        <w:spacing w:after="0" w:line="1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400" w:hanging="377"/>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ind w:left="36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3663950</wp:posOffset>
            </wp:positionH>
            <wp:positionV relativeFrom="paragraph">
              <wp:posOffset>-5715</wp:posOffset>
            </wp:positionV>
            <wp:extent cx="1138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161290</wp:posOffset>
            </wp:positionV>
            <wp:extent cx="2772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241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379095</wp:posOffset>
            </wp:positionV>
            <wp:extent cx="2897505" cy="96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7505" cy="9632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WESTERN DIGITAL CORPORATION</w:t>
      </w:r>
    </w:p>
    <w:p>
      <w:pPr>
        <w:sectPr>
          <w:pgSz w:w="11900" w:h="16838" w:orient="portrait"/>
          <w:cols w:equalWidth="0" w:num="1">
            <w:col w:w="11200"/>
          </w:cols>
          <w:pgMar w:left="320" w:top="1016" w:right="37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4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57150</wp:posOffset>
            </wp:positionV>
            <wp:extent cx="2772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line="199" w:lineRule="exact"/>
        <w:rPr>
          <w:sz w:val="24"/>
          <w:szCs w:val="24"/>
          <w:color w:val="auto"/>
        </w:rPr>
      </w:pPr>
    </w:p>
    <w:p>
      <w:pPr>
        <w:jc w:val="center"/>
        <w:ind w:left="-1619"/>
        <w:spacing w:after="0"/>
        <w:rPr>
          <w:sz w:val="20"/>
          <w:szCs w:val="20"/>
          <w:color w:val="auto"/>
        </w:rPr>
      </w:pPr>
      <w:r>
        <w:rPr>
          <w:rFonts w:ascii="Times New Roman" w:cs="Times New Roman" w:eastAsia="Times New Roman" w:hAnsi="Times New Roman"/>
          <w:sz w:val="16"/>
          <w:szCs w:val="16"/>
          <w:b w:val="1"/>
          <w:bCs w:val="1"/>
          <w:color w:val="auto"/>
        </w:rPr>
        <w:t>33-0956711</w:t>
      </w:r>
    </w:p>
    <w:p>
      <w:pPr>
        <w:spacing w:after="0" w:line="155" w:lineRule="exact"/>
        <w:rPr>
          <w:sz w:val="24"/>
          <w:szCs w:val="24"/>
          <w:color w:val="auto"/>
        </w:rPr>
      </w:pPr>
    </w:p>
    <w:p>
      <w:pPr>
        <w:jc w:val="right"/>
        <w:ind w:right="1580"/>
        <w:spacing w:after="0"/>
        <w:rPr>
          <w:sz w:val="20"/>
          <w:szCs w:val="20"/>
          <w:color w:val="auto"/>
        </w:rPr>
      </w:pPr>
      <w:r>
        <w:rPr>
          <w:rFonts w:ascii="Times New Roman" w:cs="Times New Roman" w:eastAsia="Times New Roman" w:hAnsi="Times New Roman"/>
          <w:sz w:val="12"/>
          <w:szCs w:val="12"/>
          <w:i w:val="1"/>
          <w:iCs w:val="1"/>
          <w:color w:val="auto"/>
        </w:rPr>
        <w:t>(I.R.S. Employer Identification No.)</w:t>
      </w:r>
    </w:p>
    <w:p>
      <w:pPr>
        <w:spacing w:after="0" w:line="81" w:lineRule="exact"/>
        <w:rPr>
          <w:sz w:val="24"/>
          <w:szCs w:val="24"/>
          <w:color w:val="auto"/>
        </w:rPr>
      </w:pPr>
    </w:p>
    <w:p>
      <w:pPr>
        <w:sectPr>
          <w:pgSz w:w="11900" w:h="16838" w:orient="portrait"/>
          <w:cols w:equalWidth="0" w:num="2">
            <w:col w:w="3560" w:space="720"/>
            <w:col w:w="6920"/>
          </w:cols>
          <w:pgMar w:left="320" w:top="1016" w:right="379" w:bottom="1440" w:gutter="0" w:footer="0" w:header="0"/>
          <w:type w:val="continuous"/>
        </w:sectPr>
      </w:pPr>
    </w:p>
    <w:p>
      <w:pPr>
        <w:ind w:left="820"/>
        <w:spacing w:after="0"/>
        <w:tabs>
          <w:tab w:leader="none" w:pos="2800" w:val="left"/>
          <w:tab w:leader="none" w:pos="3640" w:val="left"/>
          <w:tab w:leader="none" w:pos="8540" w:val="left"/>
        </w:tabs>
        <w:rPr>
          <w:sz w:val="20"/>
          <w:szCs w:val="20"/>
          <w:color w:val="auto"/>
        </w:rPr>
      </w:pPr>
      <w:r>
        <w:rPr>
          <w:rFonts w:ascii="Times New Roman" w:cs="Times New Roman" w:eastAsia="Times New Roman" w:hAnsi="Times New Roman"/>
          <w:sz w:val="14"/>
          <w:szCs w:val="14"/>
          <w:b w:val="1"/>
          <w:bCs w:val="1"/>
          <w:color w:val="auto"/>
        </w:rPr>
        <w:t>5601 Great Oaks Parkway</w:t>
      </w:r>
      <w:r>
        <w:rPr>
          <w:sz w:val="20"/>
          <w:szCs w:val="20"/>
          <w:color w:val="auto"/>
        </w:rPr>
        <w:tab/>
      </w:r>
      <w:r>
        <w:rPr>
          <w:rFonts w:ascii="Times New Roman" w:cs="Times New Roman" w:eastAsia="Times New Roman" w:hAnsi="Times New Roman"/>
          <w:sz w:val="14"/>
          <w:szCs w:val="14"/>
          <w:b w:val="1"/>
          <w:bCs w:val="1"/>
          <w:color w:val="auto"/>
        </w:rPr>
        <w:t>San Jose,</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95119</w:t>
      </w:r>
    </w:p>
    <w:p>
      <w:pPr>
        <w:spacing w:after="0" w:line="41" w:lineRule="exact"/>
        <w:rPr>
          <w:sz w:val="24"/>
          <w:szCs w:val="24"/>
          <w:color w:val="auto"/>
        </w:rPr>
      </w:pPr>
    </w:p>
    <w:p>
      <w:pPr>
        <w:ind w:left="1540"/>
        <w:spacing w:after="0"/>
        <w:tabs>
          <w:tab w:leader="none" w:pos="8440" w:val="left"/>
        </w:tabs>
        <w:rPr>
          <w:sz w:val="20"/>
          <w:szCs w:val="20"/>
          <w:color w:val="auto"/>
        </w:rPr>
      </w:pPr>
      <w:r>
        <w:rPr>
          <w:rFonts w:ascii="Times New Roman" w:cs="Times New Roman" w:eastAsia="Times New Roman" w:hAnsi="Times New Roman"/>
          <w:sz w:val="12"/>
          <w:szCs w:val="12"/>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4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9"/>
        </w:trPr>
        <w:tc>
          <w:tcPr>
            <w:tcW w:w="15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00" w:type="dxa"/>
            <w:vAlign w:val="bottom"/>
            <w:gridSpan w:val="2"/>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3"/>
        </w:trPr>
        <w:tc>
          <w:tcPr>
            <w:tcW w:w="4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w w:val="99"/>
              </w:rPr>
              <w:t>Common Stock, $0.01 Par Value Per Share</w:t>
            </w:r>
          </w:p>
        </w:tc>
        <w:tc>
          <w:tcPr>
            <w:tcW w:w="560" w:type="dxa"/>
            <w:vAlign w:val="bottom"/>
          </w:tcPr>
          <w:p>
            <w:pPr>
              <w:spacing w:after="0"/>
              <w:rPr>
                <w:sz w:val="16"/>
                <w:szCs w:val="16"/>
                <w:color w:val="auto"/>
              </w:rPr>
            </w:pPr>
          </w:p>
        </w:tc>
        <w:tc>
          <w:tcPr>
            <w:tcW w:w="264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w w:val="97"/>
              </w:rPr>
              <w:t>WDC</w:t>
            </w:r>
          </w:p>
        </w:tc>
        <w:tc>
          <w:tcPr>
            <w:tcW w:w="180" w:type="dxa"/>
            <w:vAlign w:val="bottom"/>
          </w:tcPr>
          <w:p>
            <w:pPr>
              <w:spacing w:after="0"/>
              <w:rPr>
                <w:sz w:val="16"/>
                <w:szCs w:val="16"/>
                <w:color w:val="auto"/>
              </w:rPr>
            </w:pPr>
          </w:p>
        </w:tc>
        <w:tc>
          <w:tcPr>
            <w:tcW w:w="276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8"/>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95"/>
        </w:trPr>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bl>
    <w:p>
      <w:pPr>
        <w:spacing w:after="0" w:line="228" w:lineRule="exact"/>
        <w:rPr>
          <w:sz w:val="24"/>
          <w:szCs w:val="24"/>
          <w:color w:val="auto"/>
        </w:rPr>
      </w:pPr>
    </w:p>
    <w:p>
      <w:pPr>
        <w:ind w:right="80" w:firstLine="316"/>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ind w:firstLine="316"/>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ind w:right="340" w:firstLine="316"/>
        <w:spacing w:after="0" w:line="28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509905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in Rule 12b-2 of the Exchange Act.</w:t>
      </w:r>
    </w:p>
    <w:p>
      <w:pPr>
        <w:sectPr>
          <w:pgSz w:w="11900" w:h="16838" w:orient="portrait"/>
          <w:cols w:equalWidth="0" w:num="1">
            <w:col w:w="10860"/>
          </w:cols>
          <w:pgMar w:left="320" w:top="1027" w:right="719" w:bottom="1440" w:gutter="0" w:footer="0" w:header="0"/>
        </w:sectPr>
      </w:pP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9" w:lineRule="exact"/>
        <w:rPr>
          <w:sz w:val="20"/>
          <w:szCs w:val="20"/>
          <w:color w:val="auto"/>
        </w:rPr>
      </w:pPr>
    </w:p>
    <w:p>
      <w:pPr>
        <w:sectPr>
          <w:pgSz w:w="11900" w:h="16838" w:orient="portrait"/>
          <w:cols w:equalWidth="0" w:num="5">
            <w:col w:w="2160" w:space="720"/>
            <w:col w:w="1400" w:space="720"/>
            <w:col w:w="1340" w:space="720"/>
            <w:col w:w="1540" w:space="720"/>
            <w:col w:w="1540"/>
          </w:cols>
          <w:pgMar w:left="320" w:top="1027" w:right="719" w:bottom="1440" w:gutter="0" w:footer="0" w:header="0"/>
          <w:type w:val="continuous"/>
        </w:sectPr>
      </w:pPr>
    </w:p>
    <w:p>
      <w:pPr>
        <w:ind w:left="10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4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20" w:lineRule="exact"/>
        <w:rPr>
          <w:sz w:val="20"/>
          <w:szCs w:val="20"/>
          <w:color w:val="auto"/>
        </w:rPr>
      </w:pPr>
    </w:p>
    <w:p>
      <w:pPr>
        <w:sectPr>
          <w:pgSz w:w="11900" w:h="16838" w:orient="portrait"/>
          <w:cols w:equalWidth="0" w:num="5">
            <w:col w:w="2560" w:space="720"/>
            <w:col w:w="1520" w:space="720"/>
            <w:col w:w="1520" w:space="720"/>
            <w:col w:w="1540" w:space="720"/>
            <w:col w:w="840"/>
          </w:cols>
          <w:pgMar w:left="320" w:top="1027" w:right="719" w:bottom="1440" w:gutter="0" w:footer="0" w:header="0"/>
          <w:type w:val="continuous"/>
        </w:sectPr>
      </w:pPr>
    </w:p>
    <w:p>
      <w:pPr>
        <w:spacing w:after="0" w:line="327" w:lineRule="exact"/>
        <w:rPr>
          <w:sz w:val="20"/>
          <w:szCs w:val="20"/>
          <w:color w:val="auto"/>
        </w:rPr>
      </w:pPr>
    </w:p>
    <w:p>
      <w:pPr>
        <w:ind w:right="120" w:firstLine="316"/>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3" w:lineRule="exact"/>
        <w:rPr>
          <w:sz w:val="20"/>
          <w:szCs w:val="20"/>
          <w:color w:val="auto"/>
        </w:rPr>
      </w:pPr>
    </w:p>
    <w:p>
      <w:pPr>
        <w:ind w:left="320"/>
        <w:spacing w:after="0" w:line="161" w:lineRule="exact"/>
        <w:tabs>
          <w:tab w:leader="none" w:pos="6820" w:val="left"/>
          <w:tab w:leader="none" w:pos="73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the close of business on April 26, 2023, 319,937,433 shares of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027" w:right="7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902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90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9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6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9020" w:type="dxa"/>
            <w:vAlign w:val="bottom"/>
          </w:tcPr>
          <w:p>
            <w:pPr>
              <w:ind w:left="540"/>
              <w:spacing w:after="0" w:line="185" w:lineRule="exact"/>
              <w:rPr>
                <w:sz w:val="20"/>
                <w:szCs w:val="20"/>
                <w:color w:val="auto"/>
              </w:rPr>
            </w:pPr>
            <w:r>
              <w:rPr>
                <w:rFonts w:ascii="Times New Roman" w:cs="Times New Roman" w:eastAsia="Times New Roman" w:hAnsi="Times New Roman"/>
                <w:sz w:val="18"/>
                <w:szCs w:val="18"/>
                <w:color w:val="auto"/>
              </w:rPr>
              <w:t>Condensed Consolidated Balance Sheets — As of March 31, 2023 and July 1, 2022</w:t>
            </w:r>
          </w:p>
        </w:tc>
        <w:tc>
          <w:tcPr>
            <w:tcW w:w="760" w:type="dxa"/>
            <w:vAlign w:val="bottom"/>
            <w:gridSpan w:val="2"/>
          </w:tcPr>
          <w:p>
            <w:pPr>
              <w:jc w:val="center"/>
              <w:ind w:left="592"/>
              <w:spacing w:after="0" w:line="185" w:lineRule="exact"/>
              <w:rPr>
                <w:sz w:val="20"/>
                <w:szCs w:val="20"/>
                <w:color w:val="auto"/>
              </w:rPr>
            </w:pPr>
            <w:r>
              <w:rPr>
                <w:rFonts w:ascii="Times New Roman" w:cs="Times New Roman" w:eastAsia="Times New Roman" w:hAnsi="Times New Roman"/>
                <w:sz w:val="18"/>
                <w:szCs w:val="18"/>
                <w:color w:val="3635D6"/>
                <w:w w:val="88"/>
              </w:rPr>
              <w:t>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0" w:type="dxa"/>
            <w:vAlign w:val="bottom"/>
            <w:shd w:val="clear" w:color="auto" w:fill="CCEEFF"/>
          </w:tcPr>
          <w:p>
            <w:pPr>
              <w:spacing w:after="0"/>
              <w:rPr>
                <w:sz w:val="18"/>
                <w:szCs w:val="18"/>
                <w:color w:val="auto"/>
              </w:rPr>
            </w:pPr>
          </w:p>
        </w:tc>
        <w:tc>
          <w:tcPr>
            <w:tcW w:w="9020" w:type="dxa"/>
            <w:vAlign w:val="bottom"/>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w w:val="97"/>
              </w:rPr>
              <w:t>Condensed Consolidated Statements of Operations — Three and Nine Months Ended March 31, 2023 and April 1, 2022</w:t>
            </w:r>
          </w:p>
        </w:tc>
        <w:tc>
          <w:tcPr>
            <w:tcW w:w="760" w:type="dxa"/>
            <w:vAlign w:val="bottom"/>
            <w:gridSpan w:val="2"/>
            <w:shd w:val="clear" w:color="auto" w:fill="CCEEFF"/>
          </w:tcPr>
          <w:p>
            <w:pPr>
              <w:jc w:val="center"/>
              <w:ind w:left="592"/>
              <w:spacing w:after="0" w:line="195" w:lineRule="exact"/>
              <w:rPr>
                <w:sz w:val="20"/>
                <w:szCs w:val="20"/>
                <w:color w:val="auto"/>
              </w:rPr>
            </w:pPr>
            <w:r>
              <w:rPr>
                <w:rFonts w:ascii="Times New Roman" w:cs="Times New Roman" w:eastAsia="Times New Roman" w:hAnsi="Times New Roman"/>
                <w:sz w:val="18"/>
                <w:szCs w:val="18"/>
                <w:color w:val="3635D6"/>
                <w:w w:val="88"/>
              </w:rPr>
              <w:t>6</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tcBorders>
              <w:top w:val="single" w:sz="8" w:color="CCEEFF"/>
            </w:tcBorders>
          </w:tcPr>
          <w:p>
            <w:pPr>
              <w:spacing w:after="0"/>
              <w:rPr>
                <w:sz w:val="14"/>
                <w:szCs w:val="14"/>
                <w:color w:val="auto"/>
              </w:rPr>
            </w:pPr>
          </w:p>
        </w:tc>
        <w:tc>
          <w:tcPr>
            <w:tcW w:w="902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(Loss) — Three and Nine Months Ended March 31,</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902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2023 and April 1, 2022</w:t>
            </w:r>
          </w:p>
        </w:tc>
        <w:tc>
          <w:tcPr>
            <w:tcW w:w="760" w:type="dxa"/>
            <w:vAlign w:val="bottom"/>
            <w:gridSpan w:val="2"/>
          </w:tcPr>
          <w:p>
            <w:pPr>
              <w:jc w:val="center"/>
              <w:ind w:left="592"/>
              <w:spacing w:after="0" w:line="198" w:lineRule="exact"/>
              <w:rPr>
                <w:sz w:val="20"/>
                <w:szCs w:val="20"/>
                <w:color w:val="auto"/>
              </w:rPr>
            </w:pPr>
            <w:r>
              <w:rPr>
                <w:rFonts w:ascii="Times New Roman" w:cs="Times New Roman" w:eastAsia="Times New Roman" w:hAnsi="Times New Roman"/>
                <w:sz w:val="18"/>
                <w:szCs w:val="18"/>
                <w:color w:val="3635D6"/>
                <w:w w:val="88"/>
              </w:rPr>
              <w:t>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80" w:type="dxa"/>
            <w:vAlign w:val="bottom"/>
            <w:shd w:val="clear" w:color="auto" w:fill="CCEEFF"/>
          </w:tcPr>
          <w:p>
            <w:pPr>
              <w:spacing w:after="0"/>
              <w:rPr>
                <w:sz w:val="18"/>
                <w:szCs w:val="18"/>
                <w:color w:val="auto"/>
              </w:rPr>
            </w:pPr>
          </w:p>
        </w:tc>
        <w:tc>
          <w:tcPr>
            <w:tcW w:w="9020" w:type="dxa"/>
            <w:vAlign w:val="bottom"/>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March 31, 2023 and April 1, 2022</w:t>
            </w:r>
          </w:p>
        </w:tc>
        <w:tc>
          <w:tcPr>
            <w:tcW w:w="760" w:type="dxa"/>
            <w:vAlign w:val="bottom"/>
            <w:gridSpan w:val="2"/>
            <w:shd w:val="clear" w:color="auto" w:fill="CCEEFF"/>
          </w:tcPr>
          <w:p>
            <w:pPr>
              <w:jc w:val="center"/>
              <w:ind w:left="592"/>
              <w:spacing w:after="0" w:line="195" w:lineRule="exact"/>
              <w:rPr>
                <w:sz w:val="20"/>
                <w:szCs w:val="20"/>
                <w:color w:val="auto"/>
              </w:rPr>
            </w:pPr>
            <w:r>
              <w:rPr>
                <w:rFonts w:ascii="Times New Roman" w:cs="Times New Roman" w:eastAsia="Times New Roman" w:hAnsi="Times New Roman"/>
                <w:sz w:val="18"/>
                <w:szCs w:val="18"/>
                <w:color w:val="3635D6"/>
                <w:w w:val="88"/>
              </w:rPr>
              <w:t>8</w:t>
            </w:r>
          </w:p>
        </w:tc>
        <w:tc>
          <w:tcPr>
            <w:tcW w:w="6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80" w:type="dxa"/>
            <w:vAlign w:val="bottom"/>
            <w:tcBorders>
              <w:top w:val="single" w:sz="8" w:color="CCEEFF"/>
            </w:tcBorders>
          </w:tcPr>
          <w:p>
            <w:pPr>
              <w:spacing w:after="0"/>
              <w:rPr>
                <w:sz w:val="14"/>
                <w:szCs w:val="14"/>
                <w:color w:val="auto"/>
              </w:rPr>
            </w:pPr>
          </w:p>
        </w:tc>
        <w:tc>
          <w:tcPr>
            <w:tcW w:w="9020" w:type="dxa"/>
            <w:vAlign w:val="bottom"/>
            <w:tcBorders>
              <w:top w:val="single" w:sz="8" w:color="CCEEFF"/>
            </w:tcBorders>
          </w:tcPr>
          <w:p>
            <w:pPr>
              <w:ind w:left="540"/>
              <w:spacing w:after="0" w:line="171" w:lineRule="exact"/>
              <w:rPr>
                <w:sz w:val="20"/>
                <w:szCs w:val="20"/>
                <w:color w:val="auto"/>
              </w:rPr>
            </w:pPr>
            <w:r>
              <w:rPr>
                <w:rFonts w:ascii="Times New Roman" w:cs="Times New Roman" w:eastAsia="Times New Roman" w:hAnsi="Times New Roman"/>
                <w:sz w:val="18"/>
                <w:szCs w:val="18"/>
                <w:color w:val="auto"/>
              </w:rPr>
              <w:t>Condensed Consolidated Statements of Convertible Preferred Stock and Shareholders' Equity — Nine Months Ended</w:t>
            </w: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3635D6"/>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902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March 31, 2023 and April 1, 2022</w:t>
            </w:r>
          </w:p>
        </w:tc>
        <w:tc>
          <w:tcPr>
            <w:tcW w:w="760" w:type="dxa"/>
            <w:vAlign w:val="bottom"/>
            <w:gridSpan w:val="2"/>
          </w:tcPr>
          <w:p>
            <w:pPr>
              <w:jc w:val="center"/>
              <w:ind w:left="592"/>
              <w:spacing w:after="0" w:line="198" w:lineRule="exact"/>
              <w:rPr>
                <w:sz w:val="20"/>
                <w:szCs w:val="20"/>
                <w:color w:val="auto"/>
              </w:rPr>
            </w:pPr>
            <w:r>
              <w:rPr>
                <w:rFonts w:ascii="Times New Roman" w:cs="Times New Roman" w:eastAsia="Times New Roman" w:hAnsi="Times New Roman"/>
                <w:sz w:val="18"/>
                <w:szCs w:val="18"/>
                <w:color w:val="3635D6"/>
                <w:w w:val="88"/>
              </w:rPr>
              <w:t>9</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80" w:type="dxa"/>
            <w:vAlign w:val="bottom"/>
            <w:shd w:val="clear" w:color="auto" w:fill="CCEEFF"/>
          </w:tcPr>
          <w:p>
            <w:pPr>
              <w:spacing w:after="0"/>
              <w:rPr>
                <w:sz w:val="16"/>
                <w:szCs w:val="16"/>
                <w:color w:val="auto"/>
              </w:rPr>
            </w:pPr>
          </w:p>
        </w:tc>
        <w:tc>
          <w:tcPr>
            <w:tcW w:w="9020" w:type="dxa"/>
            <w:vAlign w:val="bottom"/>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760" w:type="dxa"/>
            <w:vAlign w:val="bottom"/>
            <w:gridSpan w:val="2"/>
            <w:shd w:val="clear" w:color="auto" w:fill="CCEEFF"/>
          </w:tcPr>
          <w:p>
            <w:pPr>
              <w:jc w:val="center"/>
              <w:ind w:left="512"/>
              <w:spacing w:after="0" w:line="195" w:lineRule="exact"/>
              <w:rPr>
                <w:sz w:val="20"/>
                <w:szCs w:val="20"/>
                <w:color w:val="auto"/>
              </w:rPr>
            </w:pPr>
            <w:r>
              <w:rPr>
                <w:rFonts w:ascii="Times New Roman" w:cs="Times New Roman" w:eastAsia="Times New Roman" w:hAnsi="Times New Roman"/>
                <w:sz w:val="18"/>
                <w:szCs w:val="18"/>
                <w:color w:val="3635D6"/>
                <w:w w:val="88"/>
              </w:rPr>
              <w:t>11</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80" w:type="dxa"/>
            <w:vAlign w:val="bottom"/>
            <w:shd w:val="clear" w:color="auto" w:fill="CCEEFF"/>
          </w:tcPr>
          <w:p>
            <w:pPr>
              <w:spacing w:after="0"/>
              <w:rPr>
                <w:sz w:val="3"/>
                <w:szCs w:val="3"/>
                <w:color w:val="auto"/>
              </w:rPr>
            </w:pPr>
          </w:p>
        </w:tc>
        <w:tc>
          <w:tcPr>
            <w:tcW w:w="902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Item 2.</w:t>
            </w:r>
          </w:p>
        </w:tc>
        <w:tc>
          <w:tcPr>
            <w:tcW w:w="9020" w:type="dxa"/>
            <w:vAlign w:val="bottom"/>
          </w:tcPr>
          <w:p>
            <w:pPr>
              <w:ind w:left="240"/>
              <w:spacing w:after="0" w:line="185"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60" w:type="dxa"/>
            <w:vAlign w:val="bottom"/>
            <w:gridSpan w:val="2"/>
          </w:tcPr>
          <w:p>
            <w:pPr>
              <w:jc w:val="center"/>
              <w:ind w:left="492"/>
              <w:spacing w:after="0" w:line="185" w:lineRule="exact"/>
              <w:rPr>
                <w:sz w:val="20"/>
                <w:szCs w:val="20"/>
                <w:color w:val="auto"/>
              </w:rPr>
            </w:pPr>
            <w:r>
              <w:rPr>
                <w:rFonts w:ascii="Times New Roman" w:cs="Times New Roman" w:eastAsia="Times New Roman" w:hAnsi="Times New Roman"/>
                <w:sz w:val="18"/>
                <w:szCs w:val="18"/>
                <w:color w:val="3635D6"/>
                <w:w w:val="99"/>
              </w:rPr>
              <w:t>39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680" w:type="dxa"/>
            <w:vAlign w:val="bottom"/>
            <w:tcBorders>
              <w:right w:val="single" w:sz="8" w:color="3635D6"/>
            </w:tcBorders>
          </w:tcPr>
          <w:p>
            <w:pPr>
              <w:spacing w:after="0"/>
              <w:rPr>
                <w:sz w:val="2"/>
                <w:szCs w:val="2"/>
                <w:color w:val="auto"/>
              </w:rPr>
            </w:pPr>
          </w:p>
        </w:tc>
        <w:tc>
          <w:tcPr>
            <w:tcW w:w="80" w:type="dxa"/>
            <w:vAlign w:val="bottom"/>
            <w:shd w:val="clear" w:color="auto" w:fill="3635D6"/>
          </w:tcPr>
          <w:p>
            <w:pPr>
              <w:spacing w:after="0"/>
              <w:rPr>
                <w:sz w:val="2"/>
                <w:szCs w:val="2"/>
                <w:color w:val="auto"/>
              </w:rPr>
            </w:pPr>
          </w:p>
        </w:tc>
        <w:tc>
          <w:tcPr>
            <w:tcW w:w="680" w:type="dxa"/>
            <w:vAlign w:val="bottom"/>
            <w:tcBorders>
              <w:left w:val="single" w:sz="8" w:color="3635D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Item 3.</w:t>
            </w:r>
          </w:p>
        </w:tc>
        <w:tc>
          <w:tcPr>
            <w:tcW w:w="9020" w:type="dxa"/>
            <w:vAlign w:val="bottom"/>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60" w:type="dxa"/>
            <w:vAlign w:val="bottom"/>
            <w:gridSpan w:val="2"/>
            <w:shd w:val="clear" w:color="auto" w:fill="CCEEFF"/>
          </w:tcPr>
          <w:p>
            <w:pPr>
              <w:jc w:val="center"/>
              <w:ind w:left="492"/>
              <w:spacing w:after="0" w:line="195" w:lineRule="exact"/>
              <w:rPr>
                <w:sz w:val="20"/>
                <w:szCs w:val="20"/>
                <w:color w:val="auto"/>
              </w:rPr>
            </w:pPr>
            <w:r>
              <w:rPr>
                <w:rFonts w:ascii="Times New Roman" w:cs="Times New Roman" w:eastAsia="Times New Roman" w:hAnsi="Times New Roman"/>
                <w:sz w:val="18"/>
                <w:szCs w:val="18"/>
                <w:color w:val="3635D6"/>
                <w:w w:val="99"/>
              </w:rPr>
              <w:t>53</w:t>
            </w:r>
          </w:p>
        </w:tc>
        <w:tc>
          <w:tcPr>
            <w:tcW w:w="6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80" w:type="dxa"/>
            <w:vAlign w:val="bottom"/>
            <w:shd w:val="clear" w:color="auto" w:fill="CCEEFF"/>
          </w:tcPr>
          <w:p>
            <w:pPr>
              <w:spacing w:after="0"/>
              <w:rPr>
                <w:sz w:val="3"/>
                <w:szCs w:val="3"/>
                <w:color w:val="auto"/>
              </w:rPr>
            </w:pPr>
          </w:p>
        </w:tc>
        <w:tc>
          <w:tcPr>
            <w:tcW w:w="9020" w:type="dxa"/>
            <w:vAlign w:val="bottom"/>
            <w:shd w:val="clear" w:color="auto" w:fill="CCEEFF"/>
          </w:tcPr>
          <w:p>
            <w:pPr>
              <w:spacing w:after="0"/>
              <w:rPr>
                <w:sz w:val="3"/>
                <w:szCs w:val="3"/>
                <w:color w:val="auto"/>
              </w:rPr>
            </w:pPr>
          </w:p>
        </w:tc>
        <w:tc>
          <w:tcPr>
            <w:tcW w:w="680" w:type="dxa"/>
            <w:vAlign w:val="bottom"/>
            <w:tcBorders>
              <w:right w:val="single" w:sz="8" w:color="3635D6"/>
            </w:tcBorders>
            <w:shd w:val="clear" w:color="auto" w:fill="CCEEFF"/>
          </w:tcPr>
          <w:p>
            <w:pPr>
              <w:spacing w:after="0"/>
              <w:rPr>
                <w:sz w:val="3"/>
                <w:szCs w:val="3"/>
                <w:color w:val="auto"/>
              </w:rPr>
            </w:pPr>
          </w:p>
        </w:tc>
        <w:tc>
          <w:tcPr>
            <w:tcW w:w="80" w:type="dxa"/>
            <w:vAlign w:val="bottom"/>
            <w:shd w:val="clear" w:color="auto" w:fill="3635D6"/>
          </w:tcPr>
          <w:p>
            <w:pPr>
              <w:spacing w:after="0"/>
              <w:rPr>
                <w:sz w:val="3"/>
                <w:szCs w:val="3"/>
                <w:color w:val="auto"/>
              </w:rPr>
            </w:pPr>
          </w:p>
        </w:tc>
        <w:tc>
          <w:tcPr>
            <w:tcW w:w="680" w:type="dxa"/>
            <w:vAlign w:val="bottom"/>
            <w:tcBorders>
              <w:left w:val="single" w:sz="8" w:color="3635D6"/>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78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Item 4.</w:t>
            </w:r>
          </w:p>
        </w:tc>
        <w:tc>
          <w:tcPr>
            <w:tcW w:w="9020" w:type="dxa"/>
            <w:vAlign w:val="bottom"/>
          </w:tcPr>
          <w:p>
            <w:pPr>
              <w:ind w:left="240"/>
              <w:spacing w:after="0" w:line="185" w:lineRule="exact"/>
              <w:rPr>
                <w:sz w:val="20"/>
                <w:szCs w:val="20"/>
                <w:color w:val="auto"/>
              </w:rPr>
            </w:pPr>
            <w:r>
              <w:rPr>
                <w:rFonts w:ascii="Times New Roman" w:cs="Times New Roman" w:eastAsia="Times New Roman" w:hAnsi="Times New Roman"/>
                <w:sz w:val="18"/>
                <w:szCs w:val="18"/>
                <w:color w:val="auto"/>
              </w:rPr>
              <w:t>Controls and Procedures</w:t>
            </w:r>
          </w:p>
        </w:tc>
        <w:tc>
          <w:tcPr>
            <w:tcW w:w="760" w:type="dxa"/>
            <w:vAlign w:val="bottom"/>
            <w:gridSpan w:val="2"/>
          </w:tcPr>
          <w:p>
            <w:pPr>
              <w:jc w:val="center"/>
              <w:ind w:left="492"/>
              <w:spacing w:after="0" w:line="185" w:lineRule="exact"/>
              <w:rPr>
                <w:sz w:val="20"/>
                <w:szCs w:val="20"/>
                <w:color w:val="auto"/>
              </w:rPr>
            </w:pPr>
            <w:r>
              <w:rPr>
                <w:rFonts w:ascii="Times New Roman" w:cs="Times New Roman" w:eastAsia="Times New Roman" w:hAnsi="Times New Roman"/>
                <w:sz w:val="18"/>
                <w:szCs w:val="18"/>
                <w:color w:val="3635D6"/>
                <w:w w:val="99"/>
              </w:rPr>
              <w:t>53</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680" w:type="dxa"/>
            <w:vAlign w:val="bottom"/>
            <w:tcBorders>
              <w:right w:val="single" w:sz="8" w:color="3635D6"/>
            </w:tcBorders>
          </w:tcPr>
          <w:p>
            <w:pPr>
              <w:spacing w:after="0" w:line="20" w:lineRule="exact"/>
              <w:rPr>
                <w:sz w:val="1"/>
                <w:szCs w:val="1"/>
                <w:color w:val="auto"/>
              </w:rPr>
            </w:pPr>
          </w:p>
        </w:tc>
        <w:tc>
          <w:tcPr>
            <w:tcW w:w="80" w:type="dxa"/>
            <w:vAlign w:val="bottom"/>
            <w:shd w:val="clear" w:color="auto" w:fill="3635D6"/>
          </w:tcPr>
          <w:p>
            <w:pPr>
              <w:spacing w:after="0" w:line="20" w:lineRule="exact"/>
              <w:rPr>
                <w:sz w:val="1"/>
                <w:szCs w:val="1"/>
                <w:color w:val="auto"/>
              </w:rPr>
            </w:pPr>
          </w:p>
        </w:tc>
        <w:tc>
          <w:tcPr>
            <w:tcW w:w="680" w:type="dxa"/>
            <w:vAlign w:val="bottom"/>
            <w:tcBorders>
              <w:left w:val="single" w:sz="8" w:color="3635D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4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r>
      <w:tr>
        <w:trPr>
          <w:trHeight w:val="185"/>
        </w:trPr>
        <w:tc>
          <w:tcPr>
            <w:tcW w:w="8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Item 1.</w:t>
            </w:r>
          </w:p>
        </w:tc>
        <w:tc>
          <w:tcPr>
            <w:tcW w:w="2460" w:type="dxa"/>
            <w:vAlign w:val="bottom"/>
            <w:shd w:val="clear" w:color="auto" w:fill="CCEEFF"/>
          </w:tcPr>
          <w:p>
            <w:pPr>
              <w:ind w:left="180"/>
              <w:spacing w:after="0" w:line="185" w:lineRule="exact"/>
              <w:rPr>
                <w:sz w:val="20"/>
                <w:szCs w:val="20"/>
                <w:color w:val="auto"/>
              </w:rPr>
            </w:pPr>
            <w:r>
              <w:rPr>
                <w:rFonts w:ascii="Times New Roman" w:cs="Times New Roman" w:eastAsia="Times New Roman" w:hAnsi="Times New Roman"/>
                <w:sz w:val="18"/>
                <w:szCs w:val="18"/>
                <w:color w:val="auto"/>
              </w:rPr>
              <w:t>Legal Proceedings</w:t>
            </w:r>
          </w:p>
        </w:tc>
        <w:tc>
          <w:tcPr>
            <w:tcW w:w="732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3635D6"/>
              </w:rPr>
              <w:t>54</w:t>
            </w:r>
          </w:p>
        </w:tc>
        <w:tc>
          <w:tcPr>
            <w:tcW w:w="620" w:type="dxa"/>
            <w:vAlign w:val="bottom"/>
            <w:shd w:val="clear" w:color="auto" w:fill="CCEEFF"/>
          </w:tcPr>
          <w:p>
            <w:pPr>
              <w:spacing w:after="0"/>
              <w:rPr>
                <w:sz w:val="16"/>
                <w:szCs w:val="16"/>
                <w:color w:val="auto"/>
              </w:rPr>
            </w:pPr>
          </w:p>
        </w:tc>
      </w:tr>
      <w:tr>
        <w:trPr>
          <w:trHeight w:val="40"/>
        </w:trPr>
        <w:tc>
          <w:tcPr>
            <w:tcW w:w="84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7140" w:type="dxa"/>
            <w:vAlign w:val="bottom"/>
            <w:shd w:val="clear" w:color="auto" w:fill="CCEEFF"/>
          </w:tcPr>
          <w:p>
            <w:pPr>
              <w:spacing w:after="0"/>
              <w:rPr>
                <w:sz w:val="3"/>
                <w:szCs w:val="3"/>
                <w:color w:val="auto"/>
              </w:rPr>
            </w:pPr>
          </w:p>
        </w:tc>
        <w:tc>
          <w:tcPr>
            <w:tcW w:w="180" w:type="dxa"/>
            <w:vAlign w:val="bottom"/>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5"/>
        </w:trPr>
        <w:tc>
          <w:tcPr>
            <w:tcW w:w="84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246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Risk Factors</w:t>
            </w:r>
          </w:p>
        </w:tc>
        <w:tc>
          <w:tcPr>
            <w:tcW w:w="73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3635D6"/>
              </w:rPr>
              <w:t>54</w:t>
            </w:r>
          </w:p>
        </w:tc>
        <w:tc>
          <w:tcPr>
            <w:tcW w:w="620" w:type="dxa"/>
            <w:vAlign w:val="bottom"/>
          </w:tcPr>
          <w:p>
            <w:pPr>
              <w:spacing w:after="0"/>
              <w:rPr>
                <w:sz w:val="16"/>
                <w:szCs w:val="16"/>
                <w:color w:val="auto"/>
              </w:rPr>
            </w:pPr>
          </w:p>
        </w:tc>
      </w:tr>
      <w:tr>
        <w:trPr>
          <w:trHeight w:val="30"/>
        </w:trPr>
        <w:tc>
          <w:tcPr>
            <w:tcW w:w="8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0" w:type="dxa"/>
            <w:vAlign w:val="bottom"/>
            <w:shd w:val="clear" w:color="auto" w:fill="3635D6"/>
          </w:tcPr>
          <w:p>
            <w:pPr>
              <w:spacing w:after="0"/>
              <w:rPr>
                <w:sz w:val="2"/>
                <w:szCs w:val="2"/>
                <w:color w:val="auto"/>
              </w:rPr>
            </w:pPr>
          </w:p>
        </w:tc>
        <w:tc>
          <w:tcPr>
            <w:tcW w:w="620" w:type="dxa"/>
            <w:vAlign w:val="bottom"/>
          </w:tcPr>
          <w:p>
            <w:pPr>
              <w:spacing w:after="0"/>
              <w:rPr>
                <w:sz w:val="2"/>
                <w:szCs w:val="2"/>
                <w:color w:val="auto"/>
              </w:rPr>
            </w:pPr>
          </w:p>
        </w:tc>
      </w:tr>
      <w:tr>
        <w:trPr>
          <w:trHeight w:val="194"/>
        </w:trPr>
        <w:tc>
          <w:tcPr>
            <w:tcW w:w="8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Item 6.</w:t>
            </w:r>
          </w:p>
        </w:tc>
        <w:tc>
          <w:tcPr>
            <w:tcW w:w="24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Exhibits</w:t>
            </w:r>
          </w:p>
        </w:tc>
        <w:tc>
          <w:tcPr>
            <w:tcW w:w="732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3635D6"/>
              </w:rPr>
              <w:t>56</w:t>
            </w:r>
          </w:p>
        </w:tc>
        <w:tc>
          <w:tcPr>
            <w:tcW w:w="620" w:type="dxa"/>
            <w:vAlign w:val="bottom"/>
            <w:shd w:val="clear" w:color="auto" w:fill="CCEEFF"/>
          </w:tcPr>
          <w:p>
            <w:pPr>
              <w:spacing w:after="0"/>
              <w:rPr>
                <w:sz w:val="16"/>
                <w:szCs w:val="16"/>
                <w:color w:val="auto"/>
              </w:rPr>
            </w:pPr>
          </w:p>
        </w:tc>
      </w:tr>
      <w:tr>
        <w:trPr>
          <w:trHeight w:val="40"/>
        </w:trPr>
        <w:tc>
          <w:tcPr>
            <w:tcW w:w="84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7140" w:type="dxa"/>
            <w:vAlign w:val="bottom"/>
            <w:shd w:val="clear" w:color="auto" w:fill="CCEEFF"/>
          </w:tcPr>
          <w:p>
            <w:pPr>
              <w:spacing w:after="0"/>
              <w:rPr>
                <w:sz w:val="3"/>
                <w:szCs w:val="3"/>
                <w:color w:val="auto"/>
              </w:rPr>
            </w:pPr>
          </w:p>
        </w:tc>
        <w:tc>
          <w:tcPr>
            <w:tcW w:w="180" w:type="dxa"/>
            <w:vAlign w:val="bottom"/>
            <w:shd w:val="clear" w:color="auto" w:fill="3635D6"/>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311" w:lineRule="exact"/>
        <w:rPr>
          <w:sz w:val="20"/>
          <w:szCs w:val="20"/>
          <w:color w:val="auto"/>
        </w:rPr>
      </w:pPr>
    </w:p>
    <w:p>
      <w:pPr>
        <w:ind w:right="200" w:firstLine="316"/>
        <w:spacing w:after="0" w:line="257"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206" w:lineRule="exact"/>
        <w:rPr>
          <w:sz w:val="20"/>
          <w:szCs w:val="20"/>
          <w:color w:val="auto"/>
        </w:rPr>
      </w:pPr>
    </w:p>
    <w:p>
      <w:pPr>
        <w:ind w:right="660" w:firstLine="316"/>
        <w:spacing w:after="0" w:line="269" w:lineRule="auto"/>
        <w:rPr>
          <w:sz w:val="20"/>
          <w:szCs w:val="20"/>
          <w:color w:val="auto"/>
        </w:rPr>
      </w:pPr>
      <w:r>
        <w:rPr>
          <w:rFonts w:ascii="Times New Roman" w:cs="Times New Roman" w:eastAsia="Times New Roman" w:hAnsi="Times New Roman"/>
          <w:sz w:val="18"/>
          <w:szCs w:val="18"/>
          <w:color w:val="auto"/>
        </w:rPr>
        <w:t>WDC, a Delaware corporation, is the parent company of our data storage business. Our principal executive offices are located at 5601 Great Oaks Parkway, San Jose, California 95119. Our telephone number is (408) 717-6000.</w:t>
      </w:r>
    </w:p>
    <w:p>
      <w:pPr>
        <w:spacing w:after="0" w:line="195" w:lineRule="exact"/>
        <w:rPr>
          <w:sz w:val="20"/>
          <w:szCs w:val="20"/>
          <w:color w:val="auto"/>
        </w:rPr>
      </w:pPr>
    </w:p>
    <w:p>
      <w:pPr>
        <w:ind w:right="120" w:firstLine="316"/>
        <w:spacing w:after="0" w:line="333" w:lineRule="auto"/>
        <w:rPr>
          <w:sz w:val="20"/>
          <w:szCs w:val="20"/>
          <w:color w:val="auto"/>
        </w:rPr>
      </w:pPr>
      <w:r>
        <w:rPr>
          <w:rFonts w:ascii="Times New Roman" w:cs="Times New Roman" w:eastAsia="Times New Roman" w:hAnsi="Times New Roman"/>
          <w:sz w:val="16"/>
          <w:szCs w:val="16"/>
          <w:color w:val="auto"/>
        </w:rPr>
        <w:t>Western Digital, the Western Digital logo, SanDisk, and WD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63" w:lineRule="exact"/>
        <w:rPr>
          <w:sz w:val="20"/>
          <w:szCs w:val="20"/>
          <w:color w:val="auto"/>
        </w:rPr>
      </w:pPr>
    </w:p>
    <w:p>
      <w:pPr>
        <w:ind w:right="20" w:firstLine="316"/>
        <w:spacing w:after="0" w:line="270" w:lineRule="auto"/>
        <w:rPr>
          <w:sz w:val="20"/>
          <w:szCs w:val="20"/>
          <w:color w:val="auto"/>
        </w:rPr>
      </w:pPr>
      <w:r>
        <w:rPr>
          <w:rFonts w:ascii="Times New Roman" w:cs="Times New Roman" w:eastAsia="Times New Roman" w:hAnsi="Times New Roman"/>
          <w:sz w:val="16"/>
          <w:szCs w:val="16"/>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expectations regarding the impact of the network security incident; the global macroeconomic environment; expectations regarding supply chain conditions and constraints; expectations regarding demand trends and market conditions for our products and expected future financial performance; expectations regarding our product momentum and product development and technology plans; expectations regarding capital expenditure plans and investments, including relating to our Flash Ventures joint venture with Kioxia Corporation (“Kioxia”), and sources of funding for those expenditures; expectations regarding our effective tax rate and our unrecognized tax benefits; and our beliefs regarding the sufficiency of our available liquidity to meet our working capital, debt and capital expenditure needs.</w:t>
      </w:r>
    </w:p>
    <w:p>
      <w:pPr>
        <w:spacing w:after="0" w:line="392" w:lineRule="exact"/>
        <w:rPr>
          <w:sz w:val="20"/>
          <w:szCs w:val="20"/>
          <w:color w:val="auto"/>
        </w:rPr>
      </w:pPr>
    </w:p>
    <w:p>
      <w:pPr>
        <w:ind w:firstLine="316"/>
        <w:spacing w:after="0" w:line="301" w:lineRule="auto"/>
        <w:rPr>
          <w:sz w:val="20"/>
          <w:szCs w:val="20"/>
          <w:color w:val="auto"/>
        </w:rPr>
      </w:pPr>
      <w:r>
        <w:rPr>
          <w:rFonts w:ascii="Times New Roman" w:cs="Times New Roman" w:eastAsia="Times New Roman" w:hAnsi="Times New Roman"/>
          <w:sz w:val="16"/>
          <w:szCs w:val="16"/>
          <w:i w:val="1"/>
          <w:iCs w:val="1"/>
          <w:color w:val="auto"/>
        </w:rPr>
        <w:t>These forward-looking statements are based on management’s current expectations, represent the most current information available to the Company as of the date of this Quarterly Report on Form 10-Q and are subject to a number of risks, uncertainties and other factors that could cause actual results or</w:t>
      </w:r>
    </w:p>
    <w:p>
      <w:pPr>
        <w:spacing w:after="0"/>
        <w:rPr>
          <w:sz w:val="20"/>
          <w:szCs w:val="20"/>
          <w:color w:val="auto"/>
        </w:rPr>
      </w:pPr>
      <w:r>
        <w:rPr>
          <w:rFonts w:ascii="Times New Roman" w:cs="Times New Roman" w:eastAsia="Times New Roman" w:hAnsi="Times New Roman"/>
          <w:sz w:val="18"/>
          <w:szCs w:val="18"/>
          <w:i w:val="1"/>
          <w:iCs w:val="1"/>
          <w:color w:val="auto"/>
        </w:rPr>
        <w:t>performance to differ materially from those expressed in the forward-looking statements. These risks and uncertainties include, but are not limited to:</w:t>
      </w:r>
    </w:p>
    <w:p>
      <w:pPr>
        <w:spacing w:after="0" w:line="270" w:lineRule="exact"/>
        <w:rPr>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volatility in global economic conditions;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future responses to and effects of the COVID-19 pandemic or other similar global health crises;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impact of business and market conditions;</w:t>
      </w:r>
    </w:p>
    <w:p>
      <w:pPr>
        <w:spacing w:after="0" w:line="33" w:lineRule="exact"/>
        <w:rPr>
          <w:rFonts w:ascii="Arial" w:cs="Arial" w:eastAsia="Arial" w:hAnsi="Arial"/>
          <w:sz w:val="21"/>
          <w:szCs w:val="21"/>
          <w:color w:val="auto"/>
        </w:rPr>
      </w:pPr>
    </w:p>
    <w:p>
      <w:pPr>
        <w:ind w:left="640" w:right="280" w:hanging="318"/>
        <w:spacing w:after="0" w:line="249" w:lineRule="auto"/>
        <w:tabs>
          <w:tab w:leader="none" w:pos="63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7"/>
          <w:szCs w:val="17"/>
          <w:i w:val="1"/>
          <w:iCs w:val="1"/>
          <w:color w:val="auto"/>
        </w:rPr>
        <w:t>the outcome and impact of our ongoing strategic review, including with respect to customer and supplier relationships, regulatory and contractual restrictions, stock price volatility and the diversion of management’s attention from ongoing business operations and opportunities;</w:t>
      </w:r>
    </w:p>
    <w:p>
      <w:pPr>
        <w:spacing w:after="0" w:line="9" w:lineRule="exact"/>
        <w:rPr>
          <w:rFonts w:ascii="Arial" w:cs="Arial" w:eastAsia="Arial" w:hAnsi="Arial"/>
          <w:sz w:val="20"/>
          <w:szCs w:val="20"/>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impact of competitive products and pricing;</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our development and introduction of products based on new technologies and expansion into new data storage markets;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risks associated with cost saving initiatives, restructurings, acquisitions, divestitures, mergers, joint ventures and our strategic relationships;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difficulties or delays in manufacturing or other supply chain disruptions;</w:t>
      </w:r>
    </w:p>
    <w:p>
      <w:pPr>
        <w:spacing w:after="0" w:line="22"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hiring and retention of key employees;</w:t>
      </w:r>
    </w:p>
    <w:p>
      <w:pPr>
        <w:spacing w:after="0" w:line="15"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our level of debt and other financial obligations;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changes to our relationships with key customers;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compromise, damage or interruption from cybersecurity incidents or other data or system security risks;</w:t>
      </w:r>
    </w:p>
    <w:p>
      <w:pPr>
        <w:spacing w:after="0" w:line="16" w:lineRule="exact"/>
        <w:rPr>
          <w:rFonts w:ascii="Arial" w:cs="Arial" w:eastAsia="Arial" w:hAnsi="Arial"/>
          <w:sz w:val="21"/>
          <w:szCs w:val="21"/>
          <w:color w:val="auto"/>
        </w:rPr>
      </w:pPr>
    </w:p>
    <w:p>
      <w:pPr>
        <w:ind w:left="640" w:hanging="318"/>
        <w:spacing w:after="0" w:line="233"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actions by competitors;</w:t>
      </w:r>
    </w:p>
    <w:p>
      <w:pPr>
        <w:spacing w:after="0" w:line="22" w:lineRule="exact"/>
        <w:rPr>
          <w:rFonts w:ascii="Arial" w:cs="Arial" w:eastAsia="Arial" w:hAnsi="Arial"/>
          <w:sz w:val="21"/>
          <w:szCs w:val="21"/>
          <w:color w:val="auto"/>
        </w:rPr>
      </w:pPr>
    </w:p>
    <w:p>
      <w:pPr>
        <w:ind w:left="640" w:hanging="318"/>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risks associated with compliance with changing legal and regulatory requirements and the outcome of legal proceedings; and</w:t>
      </w:r>
    </w:p>
    <w:p>
      <w:pPr>
        <w:spacing w:after="0" w:line="19" w:lineRule="exact"/>
        <w:rPr>
          <w:rFonts w:ascii="Arial" w:cs="Arial" w:eastAsia="Arial" w:hAnsi="Arial"/>
          <w:sz w:val="21"/>
          <w:szCs w:val="21"/>
          <w:color w:val="auto"/>
        </w:rPr>
      </w:pPr>
    </w:p>
    <w:p>
      <w:pPr>
        <w:ind w:left="640" w:right="140" w:hanging="318"/>
        <w:spacing w:after="0" w:line="236"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the other risks and uncertainties disclosed in Part I, Item 1A of our Annual Report on Form 10-K for the year ended July 1, 2022 (the “2022 Annual Report on Form 10-K”).</w:t>
      </w:r>
    </w:p>
    <w:p>
      <w:pPr>
        <w:spacing w:after="0" w:line="218" w:lineRule="exact"/>
        <w:rPr>
          <w:sz w:val="20"/>
          <w:szCs w:val="20"/>
          <w:color w:val="auto"/>
        </w:rPr>
      </w:pPr>
    </w:p>
    <w:p>
      <w:pPr>
        <w:ind w:right="20" w:firstLine="316"/>
        <w:spacing w:after="0" w:line="248" w:lineRule="auto"/>
        <w:rPr>
          <w:sz w:val="20"/>
          <w:szCs w:val="20"/>
          <w:color w:val="auto"/>
        </w:rPr>
      </w:pPr>
      <w:r>
        <w:rPr>
          <w:rFonts w:ascii="Times New Roman" w:cs="Times New Roman" w:eastAsia="Times New Roman" w:hAnsi="Times New Roman"/>
          <w:sz w:val="18"/>
          <w:szCs w:val="18"/>
          <w:i w:val="1"/>
          <w:iCs w:val="1"/>
          <w:color w:val="auto"/>
        </w:rPr>
        <w:t>You are urged to carefully review the disclosures we make concerning these risks and review the additional disclosures we make concerning material risks and other factors that may affect the outcome of our forward-looking statements and our business and operating results, including those made in Part I, Item 1A of our 2022 Annual Report on Form 10-K and any of those made in our other reports filed with the Securities and Exchange Commission, including under “Risk Factors” in Item 1A of subsequent Annual Reports on Form 10-K and Quarterly Reports on Form 10-Q that may from time to time amend, supplement or supersede the risks and uncertainties disclosed in the 2022 Annual Report on Form 10-K.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 FINANCIAL INFORMATION</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Financial Statements (unaudited)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480"/>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SHAREHOLDERS’</w:t>
            </w: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80" w:type="dxa"/>
            <w:vAlign w:val="bottom"/>
            <w:vMerge w:val="continue"/>
          </w:tcPr>
          <w:p>
            <w:pPr>
              <w:spacing w:after="0"/>
              <w:rPr>
                <w:sz w:val="13"/>
                <w:szCs w:val="13"/>
                <w:color w:val="auto"/>
              </w:rPr>
            </w:pPr>
          </w:p>
        </w:tc>
        <w:tc>
          <w:tcPr>
            <w:tcW w:w="142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14,038</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11, 13 and 16)</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2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Convertible preferred stock, $0.01 par value; authorized — 5 shares; issued and outstanding — 0.9 shares and 0 shares,</w:t>
            </w: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 authorized — 450 shares; issued and outstanding — 320 shares and 315 shares, respectively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9,039</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12,221</w:t>
            </w:r>
          </w:p>
        </w:tc>
        <w:tc>
          <w:tcPr>
            <w:tcW w:w="0" w:type="dxa"/>
            <w:vAlign w:val="bottom"/>
          </w:tcPr>
          <w:p>
            <w:pPr>
              <w:spacing w:after="0"/>
              <w:rPr>
                <w:sz w:val="1"/>
                <w:szCs w:val="1"/>
                <w:color w:val="auto"/>
              </w:rPr>
            </w:pP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shareholders’ equity</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26,259</w:t>
            </w:r>
          </w:p>
        </w:tc>
        <w:tc>
          <w:tcPr>
            <w:tcW w:w="0" w:type="dxa"/>
            <w:vAlign w:val="bottom"/>
          </w:tcPr>
          <w:p>
            <w:pPr>
              <w:spacing w:after="0"/>
              <w:rPr>
                <w:sz w:val="1"/>
                <w:szCs w:val="1"/>
                <w:color w:val="auto"/>
              </w:rPr>
            </w:pPr>
          </w:p>
        </w:tc>
      </w:tr>
      <w:tr>
        <w:trPr>
          <w:trHeight w:val="22"/>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700" w:type="dxa"/>
            <w:vAlign w:val="bottom"/>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01"/>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01"/>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r>
      <w:tr>
        <w:trPr>
          <w:trHeight w:val="209"/>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7,851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9,836</w:t>
            </w:r>
          </w:p>
        </w:tc>
      </w:tr>
      <w:tr>
        <w:trPr>
          <w:trHeight w:val="206"/>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r>
      <w:tr>
        <w:trPr>
          <w:trHeight w:val="189"/>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2"/>
        </w:trPr>
        <w:tc>
          <w:tcPr>
            <w:tcW w:w="5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r>
      <w:tr>
        <w:trPr>
          <w:trHeight w:val="20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2"/>
        </w:trPr>
        <w:tc>
          <w:tcPr>
            <w:tcW w:w="5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r>
      <w:tr>
        <w:trPr>
          <w:trHeight w:val="209"/>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4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per common share: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51"/>
        </w:trPr>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bl>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20" w:type="dxa"/>
            <w:vAlign w:val="bottom"/>
            <w:gridSpan w:val="4"/>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02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5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Actuarial pension gain (loss)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Net unrealized gain (loss) on derivative contracts and available-for-sale</w:t>
            </w:r>
          </w:p>
        </w:tc>
        <w:tc>
          <w:tcPr>
            <w:tcW w:w="10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102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60"/>
        </w:trPr>
        <w:tc>
          <w:tcPr>
            <w:tcW w:w="51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w:t>
            </w: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140" w:type="dxa"/>
            <w:vAlign w:val="bottom"/>
          </w:tcPr>
          <w:p>
            <w:pPr>
              <w:jc w:val="right"/>
              <w:ind w:right="41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operations: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1"/>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portion of asset impairment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1"/>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non-cash operating activities, net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1"/>
        </w:trPr>
        <w:tc>
          <w:tcPr>
            <w:tcW w:w="8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to related parties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8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1"/>
        </w:trPr>
        <w:tc>
          <w:tcPr>
            <w:tcW w:w="8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8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issuances to Flash Ventures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Strategic investments and other, net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172"/>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employee stock plans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convertible preferred stock</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debt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debt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18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exchange of TLA-1 notes for TLA-2 notes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332"/>
        </w:trPr>
        <w:tc>
          <w:tcPr>
            <w:tcW w:w="2680" w:type="dxa"/>
            <w:vAlign w:val="bottom"/>
          </w:tcPr>
          <w:p>
            <w:pPr>
              <w:spacing w:after="0"/>
              <w:rPr>
                <w:sz w:val="24"/>
                <w:szCs w:val="24"/>
                <w:color w:val="auto"/>
              </w:rPr>
            </w:pPr>
          </w:p>
        </w:tc>
        <w:tc>
          <w:tcPr>
            <w:tcW w:w="1860" w:type="dxa"/>
            <w:vAlign w:val="bottom"/>
            <w:tcBorders>
              <w:right w:val="single" w:sz="8" w:color="auto"/>
            </w:tcBorders>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80" w:type="dxa"/>
            <w:vAlign w:val="bottom"/>
          </w:tcPr>
          <w:p>
            <w:pPr>
              <w:spacing w:after="0"/>
              <w:rPr>
                <w:sz w:val="24"/>
                <w:szCs w:val="24"/>
                <w:color w:val="auto"/>
              </w:rPr>
            </w:pP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1860" w:type="dxa"/>
            <w:vAlign w:val="bottom"/>
            <w:tcBorders>
              <w:right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2"/>
            <w:vMerge w:val="restart"/>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Total Shareholders’</w:t>
            </w: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1, 2022</w:t>
            </w: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9,039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12,221</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Adoption of new accounting standards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9,157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12,107</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30, 2022</w:t>
            </w: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8,711</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36"/>
        </w:trPr>
        <w:tc>
          <w:tcPr>
            <w:tcW w:w="330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4"/>
                <w:szCs w:val="14"/>
                <w:color w:val="auto"/>
              </w:rPr>
              <w:t>Issuance of convertible preferred stock, net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issuance costs</w:t>
            </w: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5"/>
        </w:trPr>
        <w:tc>
          <w:tcPr>
            <w:tcW w:w="3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6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38"/>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8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8,139</w:t>
            </w:r>
          </w:p>
        </w:tc>
        <w:tc>
          <w:tcPr>
            <w:tcW w:w="8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11,611</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0" w:type="dxa"/>
            <w:vAlign w:val="bottom"/>
            <w:gridSpan w:val="3"/>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20" w:type="dxa"/>
            <w:vAlign w:val="bottom"/>
            <w:gridSpan w:val="2"/>
            <w:vMerge w:val="restart"/>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Total Shareholders’</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2,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7,539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10,721</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8,149</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11,361</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unrealized loss on derivative contracts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8,713</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12,018</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plans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Actuarial pension gain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unrealized gain on derivative contracts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April 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Organization and Basis of Presentation</w:t>
      </w:r>
    </w:p>
    <w:p>
      <w:pPr>
        <w:spacing w:after="0" w:line="243" w:lineRule="exact"/>
        <w:rPr>
          <w:sz w:val="20"/>
          <w:szCs w:val="20"/>
          <w:color w:val="auto"/>
        </w:rPr>
      </w:pPr>
    </w:p>
    <w:p>
      <w:pPr>
        <w:ind w:right="80" w:firstLine="316"/>
        <w:spacing w:after="0" w:line="253" w:lineRule="auto"/>
        <w:rPr>
          <w:sz w:val="20"/>
          <w:szCs w:val="20"/>
          <w:color w:val="auto"/>
        </w:rPr>
      </w:pPr>
      <w:r>
        <w:rPr>
          <w:rFonts w:ascii="Times New Roman" w:cs="Times New Roman" w:eastAsia="Times New Roman" w:hAnsi="Times New Roman"/>
          <w:sz w:val="18"/>
          <w:szCs w:val="18"/>
          <w:color w:val="auto"/>
        </w:rPr>
        <w:t>Western Digital Corporation (“Western Digital” or the “Company”) is a leading developer, manufacturer, and provider of data storage devices and solutions based on both flash-based products (“Flash”) and hard disk drives (“HDD”) technologies. With dedicated Flash and HDD business units driving advancements in storage technologies, the Company creates and drives innovations needed to help customers capture, preserve, access, and transform an ever-increasing diversity of data.</w:t>
      </w:r>
    </w:p>
    <w:p>
      <w:pPr>
        <w:spacing w:after="0" w:line="207" w:lineRule="exact"/>
        <w:rPr>
          <w:sz w:val="20"/>
          <w:szCs w:val="20"/>
          <w:color w:val="auto"/>
        </w:rPr>
      </w:pPr>
    </w:p>
    <w:p>
      <w:pPr>
        <w:ind w:right="20" w:firstLine="316"/>
        <w:spacing w:after="0" w:line="214" w:lineRule="exact"/>
        <w:rPr>
          <w:sz w:val="20"/>
          <w:szCs w:val="20"/>
          <w:color w:val="auto"/>
        </w:rPr>
      </w:pPr>
      <w:r>
        <w:rPr>
          <w:rFonts w:ascii="Times New Roman" w:cs="Times New Roman" w:eastAsia="Times New Roman" w:hAnsi="Times New Roman"/>
          <w:sz w:val="18"/>
          <w:szCs w:val="18"/>
          <w:color w:val="auto"/>
        </w:rPr>
        <w:t xml:space="preserve">The accounting policies followed by the Company are set forth in Part II, Item 8, Note 1, </w:t>
      </w:r>
      <w:r>
        <w:rPr>
          <w:rFonts w:ascii="Times New Roman" w:cs="Times New Roman" w:eastAsia="Times New Roman" w:hAnsi="Times New Roman"/>
          <w:sz w:val="18"/>
          <w:szCs w:val="18"/>
          <w:i w:val="1"/>
          <w:iCs w:val="1"/>
          <w:color w:val="auto"/>
        </w:rPr>
        <w:t>Organization and Basis of Presentation,</w:t>
      </w:r>
      <w:r>
        <w:rPr>
          <w:rFonts w:ascii="Times New Roman" w:cs="Times New Roman" w:eastAsia="Times New Roman" w:hAnsi="Times New Roman"/>
          <w:sz w:val="18"/>
          <w:szCs w:val="18"/>
          <w:color w:val="auto"/>
        </w:rPr>
        <w:t xml:space="preserve"> of the Notes to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July 1, 2022.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July 1, 2022. The results of operations for interim periods are not necessarily indicative of results to be expected for the full year.</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43" w:lineRule="exact"/>
        <w:rPr>
          <w:sz w:val="20"/>
          <w:szCs w:val="20"/>
          <w:color w:val="auto"/>
        </w:rPr>
      </w:pPr>
    </w:p>
    <w:p>
      <w:pPr>
        <w:ind w:right="140" w:firstLine="316"/>
        <w:spacing w:after="0" w:line="257"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years 2023, which ends on June 30, 2023, and 2022, which ended on July 1, 2022, are each comprised of 52 weeks, with all quarters presented consisting of 13 weeks.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3" w:lineRule="exact"/>
        <w:rPr>
          <w:sz w:val="20"/>
          <w:szCs w:val="20"/>
          <w:color w:val="auto"/>
        </w:rPr>
      </w:pPr>
    </w:p>
    <w:p>
      <w:pPr>
        <w:ind w:right="180" w:firstLine="316"/>
        <w:spacing w:after="0" w:line="269" w:lineRule="auto"/>
        <w:rPr>
          <w:sz w:val="20"/>
          <w:szCs w:val="20"/>
          <w:color w:val="auto"/>
        </w:rPr>
      </w:pPr>
      <w:r>
        <w:rPr>
          <w:rFonts w:ascii="Times New Roman" w:cs="Times New Roman" w:eastAsia="Times New Roman" w:hAnsi="Times New Roman"/>
          <w:sz w:val="18"/>
          <w:szCs w:val="18"/>
          <w:color w:val="auto"/>
        </w:rPr>
        <w:t>The Company manufactures, markets, and sells data storage devices and solutions in the United States (“U.S.”) and in foreign countries through its sales personnel, dealers, distributors, retailers, and subsidiaries. The Company manages and reports under two reportable segments: Flash and HDD.</w:t>
      </w:r>
    </w:p>
    <w:p>
      <w:pPr>
        <w:spacing w:after="0" w:line="182" w:lineRule="exact"/>
        <w:rPr>
          <w:sz w:val="20"/>
          <w:szCs w:val="20"/>
          <w:color w:val="auto"/>
        </w:rPr>
      </w:pPr>
    </w:p>
    <w:p>
      <w:pPr>
        <w:ind w:right="40" w:firstLine="316"/>
        <w:spacing w:after="0" w:line="287" w:lineRule="auto"/>
        <w:rPr>
          <w:sz w:val="20"/>
          <w:szCs w:val="20"/>
          <w:color w:val="auto"/>
        </w:rPr>
      </w:pPr>
      <w:r>
        <w:rPr>
          <w:rFonts w:ascii="Times New Roman" w:cs="Times New Roman" w:eastAsia="Times New Roman" w:hAnsi="Times New Roman"/>
          <w:sz w:val="16"/>
          <w:szCs w:val="16"/>
          <w:color w:val="auto"/>
        </w:rPr>
        <w:t>The Company’s Chief Operating Decision Maker (“CODM”) evaluates performance of the Company and makes decisions regarding allocation of resources based on each operating segment’s net revenue and gross margin. Because of the integrated nature of the Company’s production and distribution activities, separate segment asset measures are not available or reviewed by the CODM to evaluate the performance of or to allocate resources to the segments.</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3" w:lineRule="exact"/>
        <w:rPr>
          <w:sz w:val="20"/>
          <w:szCs w:val="20"/>
          <w:color w:val="auto"/>
        </w:rPr>
      </w:pPr>
    </w:p>
    <w:p>
      <w:pPr>
        <w:jc w:val="both"/>
        <w:ind w:firstLine="316"/>
        <w:spacing w:after="0" w:line="257"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with consideration given to the potential impacts of current macroeconomic conditions. However, actual results could differ materially from these estimates.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(Loss) per Common Share</w:t>
      </w:r>
    </w:p>
    <w:p>
      <w:pPr>
        <w:spacing w:after="0" w:line="243" w:lineRule="exact"/>
        <w:rPr>
          <w:sz w:val="20"/>
          <w:szCs w:val="20"/>
          <w:color w:val="auto"/>
        </w:rPr>
      </w:pPr>
    </w:p>
    <w:p>
      <w:pPr>
        <w:ind w:right="80" w:firstLine="316"/>
        <w:spacing w:after="0" w:line="249" w:lineRule="auto"/>
        <w:rPr>
          <w:sz w:val="20"/>
          <w:szCs w:val="20"/>
          <w:color w:val="auto"/>
        </w:rPr>
      </w:pPr>
      <w:r>
        <w:rPr>
          <w:rFonts w:ascii="Times New Roman" w:cs="Times New Roman" w:eastAsia="Times New Roman" w:hAnsi="Times New Roman"/>
          <w:sz w:val="18"/>
          <w:szCs w:val="18"/>
          <w:color w:val="auto"/>
        </w:rPr>
        <w:t>The Company computes net income (loss) per common share using a two-class method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undistributed earnings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40" w:right="272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Recent Accounting Pronouncements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Accounting Pronouncements Recently Adopted</w:t>
      </w:r>
    </w:p>
    <w:p>
      <w:pPr>
        <w:spacing w:after="0" w:line="243" w:lineRule="exact"/>
        <w:rPr>
          <w:sz w:val="20"/>
          <w:szCs w:val="20"/>
          <w:color w:val="auto"/>
        </w:rPr>
      </w:pPr>
    </w:p>
    <w:p>
      <w:pPr>
        <w:ind w:firstLine="316"/>
        <w:spacing w:after="0" w:line="247"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(“ASU 2020-06”). ASU 2020-06 reduces the number of accounting models for convertible debt instruments and convertible preferred stock and results in fewer instruments with embedded conversion features being separately recognized from the host contract as compared with prior standards. Those instruments that do not have a separately recognized embedded conversion feature will no longer recognize a debt issuance discount related to such a conversion feature and would recognize less interest expense on a periodic basis. Additionally, the ASU amends the calculation of the share dilution impact related to a conversion feature and eliminates the treasury method as an option. The Company adopted the new standard effective July 2, 2022, the first day of the year ending June 30, 2023, using the modified retrospective method. On the date of adoption, the Company recorded a reduction in Additional Paid-In Capital of $128 million, a reduction of unamortized debt discount of $48 million, a reduction of deferred income tax liabilities of $11 million, and an increase to retained earnings of $91 million for the after-tax impact of previously recognized amortization of the debt discount associated with the Company’s convertible senior notes.</w:t>
      </w:r>
    </w:p>
    <w:p>
      <w:pPr>
        <w:spacing w:after="0" w:line="215" w:lineRule="exact"/>
        <w:rPr>
          <w:sz w:val="20"/>
          <w:szCs w:val="20"/>
          <w:color w:val="auto"/>
        </w:rPr>
      </w:pPr>
    </w:p>
    <w:p>
      <w:pPr>
        <w:ind w:right="140" w:firstLine="316"/>
        <w:spacing w:after="0" w:line="249"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Disclosures by Business Entities about Government Assistance” (“ASU 2021-10”). ASU 2021-10 increases the transparency of government assistance received by requiring most business entities to disclose information about government assistance received, including (1) the types of assistance, (2) the entity’s accounting for the assistance, and (3) the effect of the assistance on an entity’s financial statements. This ASU is effective for fiscal years (and interim periods within those fiscal years) beginning after December 15, 2021, which for the Company is the first quarter of 2023. The Company adopted this ASU on July 2, 2022, the first day of the year ending June 30, 2023, and the adoption did not have a material impact on its Condensed Consolidated Financial Statements.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43" w:lineRule="exact"/>
        <w:rPr>
          <w:sz w:val="20"/>
          <w:szCs w:val="20"/>
          <w:color w:val="auto"/>
        </w:rPr>
      </w:pPr>
    </w:p>
    <w:p>
      <w:pPr>
        <w:ind w:right="60" w:firstLine="316"/>
        <w:spacing w:after="0" w:line="250"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“Liabilities-Supplier Finance Programs (Subtopic 405-50): Disclosure of Supplier Finance Program Obligations”. This guidance requires annual and interim disclosures for entities that use supplier finance programs in connection with the purchase of goods and services. The ASU is effective for fiscal years beginning after December 15, 2022, which for the Company is the first quarter of 2024, with early adoption permitted, except for the amendment on rollforward information, which is effective for fiscal years beginning after December 15, 2023. The Company is currently evaluating the extent of the impact of this ASU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60" w:right="27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6"/>
          <w:szCs w:val="16"/>
          <w:b w:val="1"/>
          <w:bCs w:val="1"/>
          <w:color w:val="auto"/>
        </w:rPr>
        <w:t>Business Segments, Geographic Information, and Concentrations of Risk</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operating performance of the Company’s reportable segments: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70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9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422"/>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42"/>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7,353</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6,912</w:t>
            </w:r>
          </w:p>
        </w:tc>
        <w:tc>
          <w:tcPr>
            <w:tcW w:w="0" w:type="dxa"/>
            <w:vAlign w:val="bottom"/>
          </w:tcPr>
          <w:p>
            <w:pPr>
              <w:spacing w:after="0"/>
              <w:rPr>
                <w:sz w:val="1"/>
                <w:szCs w:val="1"/>
                <w:color w:val="auto"/>
              </w:rPr>
            </w:pPr>
          </w:p>
        </w:tc>
      </w:tr>
      <w:tr>
        <w:trPr>
          <w:trHeight w:val="202"/>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14,265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9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02"/>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profit for segments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4,726</w:t>
            </w:r>
          </w:p>
        </w:tc>
        <w:tc>
          <w:tcPr>
            <w:tcW w:w="0" w:type="dxa"/>
            <w:vAlign w:val="bottom"/>
          </w:tcPr>
          <w:p>
            <w:pPr>
              <w:spacing w:after="0"/>
              <w:rPr>
                <w:sz w:val="1"/>
                <w:szCs w:val="1"/>
                <w:color w:val="auto"/>
              </w:rPr>
            </w:pPr>
          </w:p>
        </w:tc>
      </w:tr>
      <w:tr>
        <w:trPr>
          <w:trHeight w:val="19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9"/>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Contamination related charges</w:t>
            </w:r>
          </w:p>
        </w:tc>
        <w:tc>
          <w:tcPr>
            <w:tcW w:w="2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Recoveries from a power outage incident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2"/>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4,429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-2754630</wp:posOffset>
            </wp:positionV>
            <wp:extent cx="58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-2754630</wp:posOffset>
            </wp:positionV>
            <wp:extent cx="673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43"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 multiple end markets. Cloud is comprised primarily of products for public or private cloud environments and end customers, which the Company believes it is uniquely positioned to address as the only provider of both Flash and HDD. Through the Client end market, the Company provides its original equipment manufacturer (“OEM”) and channel customers a broad array of high-performance flash and hard drive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disaggregated revenue information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2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1540" w:type="dxa"/>
            <w:vAlign w:val="bottom"/>
            <w:gridSpan w:val="3"/>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1,774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4,258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w:t>
            </w:r>
          </w:p>
        </w:tc>
      </w:tr>
      <w:tr>
        <w:trPr>
          <w:trHeight w:val="20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23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0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-1699260</wp:posOffset>
            </wp:positionV>
            <wp:extent cx="67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-1699260</wp:posOffset>
            </wp:positionV>
            <wp:extent cx="67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65" w:lineRule="exact"/>
        <w:rPr>
          <w:sz w:val="20"/>
          <w:szCs w:val="20"/>
          <w:color w:val="auto"/>
        </w:rPr>
      </w:pPr>
    </w:p>
    <w:p>
      <w:pPr>
        <w:ind w:right="260" w:firstLine="316"/>
        <w:spacing w:after="0" w:line="257" w:lineRule="auto"/>
        <w:rPr>
          <w:sz w:val="20"/>
          <w:szCs w:val="20"/>
          <w:color w:val="auto"/>
        </w:rPr>
      </w:pPr>
      <w:r>
        <w:rPr>
          <w:rFonts w:ascii="Times New Roman" w:cs="Times New Roman" w:eastAsia="Times New Roman" w:hAnsi="Times New Roman"/>
          <w:sz w:val="18"/>
          <w:szCs w:val="18"/>
          <w:color w:val="auto"/>
        </w:rPr>
        <w:t>The Company’s top 10 customers accounted for 49% and 45% of its net revenue for the three and nine months ended March 31, 2023, respectively, and 44% and 43% of its net revenue for the three and nine months ended April 1, 2022, respectively. For the three and nine months ended March 31, 2023 and April 1, 2022, no single customer accounted for 10% or more of the Company’s net revenue.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summary of goodwill activity for the period: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Flash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HDD</w:t>
            </w:r>
          </w:p>
        </w:tc>
        <w:tc>
          <w:tcPr>
            <w:tcW w:w="34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1, 2022</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w:t>
            </w:r>
          </w:p>
        </w:tc>
      </w:tr>
      <w:tr>
        <w:trPr>
          <w:trHeight w:val="209"/>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96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firstLine="316"/>
        <w:spacing w:after="0" w:line="253" w:lineRule="auto"/>
        <w:rPr>
          <w:sz w:val="20"/>
          <w:szCs w:val="20"/>
          <w:color w:val="auto"/>
        </w:rPr>
      </w:pPr>
      <w:r>
        <w:rPr>
          <w:rFonts w:ascii="Times New Roman" w:cs="Times New Roman" w:eastAsia="Times New Roman" w:hAnsi="Times New Roman"/>
          <w:sz w:val="18"/>
          <w:szCs w:val="18"/>
          <w:color w:val="auto"/>
        </w:rPr>
        <w:t>Goodwill is not amortized. Instead, it is tested for impairment annually as of the beginning of the Company’s fourth quarter, or more frequently if events or changes in circumstances indicate that goodwill may be impaired. The Company uses qualitative factors to determine whether goodwill is more-likely-than-not impaired and whether a quantitative test for impairment is considered necessary. If the Company concludes from the qualitative assessment that goodwill is more-likely-than-not-impaired, the Company is required to perform a quantitative approach to determine the amount of impairment.</w:t>
      </w:r>
    </w:p>
    <w:p>
      <w:pPr>
        <w:spacing w:after="0" w:line="209" w:lineRule="exact"/>
        <w:rPr>
          <w:sz w:val="20"/>
          <w:szCs w:val="20"/>
          <w:color w:val="auto"/>
        </w:rPr>
      </w:pPr>
    </w:p>
    <w:p>
      <w:pPr>
        <w:ind w:right="120" w:firstLine="316"/>
        <w:spacing w:after="0" w:line="257" w:lineRule="auto"/>
        <w:rPr>
          <w:sz w:val="20"/>
          <w:szCs w:val="20"/>
          <w:color w:val="auto"/>
        </w:rPr>
      </w:pPr>
      <w:r>
        <w:rPr>
          <w:rFonts w:ascii="Times New Roman" w:cs="Times New Roman" w:eastAsia="Times New Roman" w:hAnsi="Times New Roman"/>
          <w:sz w:val="18"/>
          <w:szCs w:val="18"/>
          <w:color w:val="auto"/>
        </w:rPr>
        <w:t>As of December 30, 2022, management identified several continuing factors, including changes in macroeconomic conditions and recent declines of the Company’s market stock price, that warranted quantitative analyses of impairments for both the Flash and HDD reporting units as of such date. The fair value of each operating segment was based on a weighting of two valuation methodologies: an income approach and a market approach.</w:t>
      </w:r>
    </w:p>
    <w:p>
      <w:pPr>
        <w:spacing w:after="0" w:line="206" w:lineRule="exact"/>
        <w:rPr>
          <w:sz w:val="20"/>
          <w:szCs w:val="20"/>
          <w:color w:val="auto"/>
        </w:rPr>
      </w:pPr>
    </w:p>
    <w:p>
      <w:pPr>
        <w:ind w:right="140" w:firstLine="316"/>
        <w:spacing w:after="0" w:line="250" w:lineRule="auto"/>
        <w:rPr>
          <w:sz w:val="20"/>
          <w:szCs w:val="20"/>
          <w:color w:val="auto"/>
        </w:rPr>
      </w:pPr>
      <w:r>
        <w:rPr>
          <w:rFonts w:ascii="Times New Roman" w:cs="Times New Roman" w:eastAsia="Times New Roman" w:hAnsi="Times New Roman"/>
          <w:sz w:val="18"/>
          <w:szCs w:val="18"/>
          <w:color w:val="auto"/>
        </w:rPr>
        <w:t>The income approach was based on the present value of the projected discounted cash flows (“DCF”) expected to be generated by the operating segment. Those projections required the use of significant estimates and assumptions specific to the reporting unit as well as those based on general economic conditions, which included, among other factors, revenue growth rates, gross margins, operating costs, capital expenditures, assumed tax rates and other assumptions deemed reasonable by management. The present value was based on applying a weighted average cost of capital (“WACC”) which considered long-term interest rates and cost of equity based on the Company’s risk profile.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460" w:right="26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540" w:firstLine="316"/>
        <w:spacing w:after="0" w:line="269" w:lineRule="auto"/>
        <w:rPr>
          <w:sz w:val="20"/>
          <w:szCs w:val="20"/>
          <w:color w:val="auto"/>
        </w:rPr>
      </w:pPr>
      <w:r>
        <w:rPr>
          <w:rFonts w:ascii="Times New Roman" w:cs="Times New Roman" w:eastAsia="Times New Roman" w:hAnsi="Times New Roman"/>
          <w:sz w:val="18"/>
          <w:szCs w:val="18"/>
          <w:color w:val="auto"/>
        </w:rPr>
        <w:t>The market approach was based on a guideline company method, which analyzed market multiples of revenue and earnings before interest, taxes, depreciation and amortization (“EBITDA”) for a group of comparable public companies.</w:t>
      </w:r>
    </w:p>
    <w:p>
      <w:pPr>
        <w:spacing w:after="0" w:line="195" w:lineRule="exact"/>
        <w:rPr>
          <w:sz w:val="20"/>
          <w:szCs w:val="20"/>
          <w:color w:val="auto"/>
        </w:rPr>
      </w:pPr>
    </w:p>
    <w:p>
      <w:pPr>
        <w:ind w:firstLine="316"/>
        <w:spacing w:after="0" w:line="269" w:lineRule="auto"/>
        <w:rPr>
          <w:sz w:val="20"/>
          <w:szCs w:val="20"/>
          <w:color w:val="auto"/>
        </w:rPr>
      </w:pPr>
      <w:r>
        <w:rPr>
          <w:rFonts w:ascii="Times New Roman" w:cs="Times New Roman" w:eastAsia="Times New Roman" w:hAnsi="Times New Roman"/>
          <w:sz w:val="18"/>
          <w:szCs w:val="18"/>
          <w:color w:val="auto"/>
        </w:rPr>
        <w:t>The Company reconciled the aggregated estimated fair value of both operating segments to the Company’s market capitalization, including consideration of a control premium representing the estimated amount a market participant would pay to obtain a controlling interest in the Company.</w:t>
      </w:r>
    </w:p>
    <w:p>
      <w:pPr>
        <w:spacing w:after="0" w:line="182" w:lineRule="exact"/>
        <w:rPr>
          <w:sz w:val="20"/>
          <w:szCs w:val="20"/>
          <w:color w:val="auto"/>
        </w:rPr>
      </w:pPr>
    </w:p>
    <w:p>
      <w:pPr>
        <w:ind w:right="200" w:firstLine="316"/>
        <w:spacing w:after="0" w:line="239" w:lineRule="auto"/>
        <w:rPr>
          <w:sz w:val="20"/>
          <w:szCs w:val="20"/>
          <w:color w:val="auto"/>
        </w:rPr>
      </w:pPr>
      <w:r>
        <w:rPr>
          <w:rFonts w:ascii="Times New Roman" w:cs="Times New Roman" w:eastAsia="Times New Roman" w:hAnsi="Times New Roman"/>
          <w:sz w:val="18"/>
          <w:szCs w:val="18"/>
          <w:color w:val="auto"/>
        </w:rPr>
        <w:t>As of December 30, 2022, the fair value derived from those valuation methodologies exceeded the carrying value by 9% and 28% for Flash and HDD, respectively.</w:t>
      </w:r>
    </w:p>
    <w:p>
      <w:pPr>
        <w:spacing w:after="0" w:line="208" w:lineRule="exact"/>
        <w:rPr>
          <w:sz w:val="20"/>
          <w:szCs w:val="20"/>
          <w:color w:val="auto"/>
        </w:rPr>
      </w:pPr>
    </w:p>
    <w:p>
      <w:pPr>
        <w:ind w:right="60" w:firstLine="316"/>
        <w:spacing w:after="0" w:line="233" w:lineRule="auto"/>
        <w:rPr>
          <w:sz w:val="20"/>
          <w:szCs w:val="20"/>
          <w:color w:val="auto"/>
        </w:rPr>
      </w:pPr>
      <w:r>
        <w:rPr>
          <w:rFonts w:ascii="Times New Roman" w:cs="Times New Roman" w:eastAsia="Times New Roman" w:hAnsi="Times New Roman"/>
          <w:sz w:val="18"/>
          <w:szCs w:val="18"/>
          <w:color w:val="auto"/>
        </w:rPr>
        <w:t>Management performed a goodwill impairment assessment for both reporting units as of the third quarter ended March 31, 2023. The assessment considered the continuing macroeconomic environment, industry conditions, reporting unit performance and revised forecasts, and determined there were no events or circumstances from prior quarter’s quantitative assessment that rise to a level that would more-likely-than-not reduce the fair value of the reporting units below their carrying value; therefore, no quantitative goodwill impairment analysis was performed. There were no impairment charges recorded for the three and nine months ended March 31, 2023.</w:t>
      </w:r>
    </w:p>
    <w:p>
      <w:pPr>
        <w:spacing w:after="0" w:line="222" w:lineRule="exact"/>
        <w:rPr>
          <w:sz w:val="20"/>
          <w:szCs w:val="20"/>
          <w:color w:val="auto"/>
        </w:rPr>
      </w:pPr>
    </w:p>
    <w:p>
      <w:pPr>
        <w:ind w:right="20" w:firstLine="316"/>
        <w:spacing w:after="0" w:line="248" w:lineRule="auto"/>
        <w:rPr>
          <w:sz w:val="20"/>
          <w:szCs w:val="20"/>
          <w:color w:val="auto"/>
        </w:rPr>
      </w:pPr>
      <w:r>
        <w:rPr>
          <w:rFonts w:ascii="Times New Roman" w:cs="Times New Roman" w:eastAsia="Times New Roman" w:hAnsi="Times New Roman"/>
          <w:sz w:val="18"/>
          <w:szCs w:val="18"/>
          <w:color w:val="auto"/>
        </w:rPr>
        <w:t>The Company is required to use judgment when assessing goodwill for impairment, including evaluating the impact of industry and macroeconomic conditions, the determination of the fair value of each reporting unit and the assignment of assets and liabilities to reporting units. In addition, the estimates used to determine the fair value of reporting units as well as their actual carrying value may change based on future changes in the Company’s results of operations, macroeconomic conditions or other factors. Changes in these estimates could materially affect the Company’s assessment of the fair value and goodwill impairment. In addition, if negative macroeconomic conditions continue or worsen or the Company’s stock price decreases for a sustained period of time, goodwill could become impaired, which could result in an impairment charge and materially adversely affect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Revenues</w:t>
      </w:r>
    </w:p>
    <w:p>
      <w:pPr>
        <w:spacing w:after="0" w:line="230" w:lineRule="exact"/>
        <w:rPr>
          <w:sz w:val="20"/>
          <w:szCs w:val="20"/>
          <w:color w:val="auto"/>
        </w:rPr>
      </w:pPr>
    </w:p>
    <w:p>
      <w:pPr>
        <w:ind w:firstLine="316"/>
        <w:spacing w:after="0" w:line="230" w:lineRule="auto"/>
        <w:rPr>
          <w:sz w:val="20"/>
          <w:szCs w:val="20"/>
          <w:color w:val="auto"/>
        </w:rPr>
      </w:pPr>
      <w:r>
        <w:rPr>
          <w:rFonts w:ascii="Times New Roman" w:cs="Times New Roman" w:eastAsia="Times New Roman" w:hAnsi="Times New Roman"/>
          <w:sz w:val="18"/>
          <w:szCs w:val="18"/>
          <w:color w:val="212529"/>
        </w:rPr>
        <w:t xml:space="preserve">Contract assets represent the Company’s rights to consideration where performance obligations are completed but the customer payments are not due until another performance obligation is satisfied. The Company did not have any contract assets as of either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xml:space="preserve"> or </w:t>
      </w:r>
      <w:r>
        <w:rPr>
          <w:rFonts w:ascii="Times New Roman" w:cs="Times New Roman" w:eastAsia="Times New Roman" w:hAnsi="Times New Roman"/>
          <w:sz w:val="18"/>
          <w:szCs w:val="18"/>
          <w:color w:val="000000"/>
        </w:rPr>
        <w:t>July 1, 2022</w:t>
      </w:r>
      <w:r>
        <w:rPr>
          <w:rFonts w:ascii="Times New Roman" w:cs="Times New Roman" w:eastAsia="Times New Roman" w:hAnsi="Times New Roman"/>
          <w:sz w:val="18"/>
          <w:szCs w:val="18"/>
          <w:color w:val="212529"/>
        </w:rPr>
        <w:t xml:space="preserve">. Contract liabilities relate to customers’ payments in advance of performance under the contract and primarily relate to remaining performance obligations under professional service and support and maintenance contracts. Contract liabilities 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July 1, 2022</w:t>
      </w:r>
      <w:r>
        <w:rPr>
          <w:rFonts w:ascii="Times New Roman" w:cs="Times New Roman" w:eastAsia="Times New Roman" w:hAnsi="Times New Roman"/>
          <w:sz w:val="18"/>
          <w:szCs w:val="18"/>
          <w:color w:val="212529"/>
        </w:rPr>
        <w:t xml:space="preserve"> and changes in contract liabilities for the nine months ended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April 1, 2022</w:t>
      </w:r>
      <w:r>
        <w:rPr>
          <w:rFonts w:ascii="Times New Roman" w:cs="Times New Roman" w:eastAsia="Times New Roman" w:hAnsi="Times New Roman"/>
          <w:sz w:val="18"/>
          <w:szCs w:val="18"/>
          <w:color w:val="212529"/>
        </w:rPr>
        <w:t xml:space="preserve"> were not material.</w:t>
      </w:r>
    </w:p>
    <w:p>
      <w:pPr>
        <w:spacing w:after="0" w:line="208" w:lineRule="exact"/>
        <w:rPr>
          <w:sz w:val="20"/>
          <w:szCs w:val="20"/>
          <w:color w:val="auto"/>
        </w:rPr>
      </w:pPr>
    </w:p>
    <w:p>
      <w:pPr>
        <w:ind w:right="200" w:firstLine="316"/>
        <w:spacing w:after="0" w:line="230" w:lineRule="auto"/>
        <w:rPr>
          <w:sz w:val="20"/>
          <w:szCs w:val="20"/>
          <w:color w:val="auto"/>
        </w:rPr>
      </w:pPr>
      <w:r>
        <w:rPr>
          <w:rFonts w:ascii="Times New Roman" w:cs="Times New Roman" w:eastAsia="Times New Roman" w:hAnsi="Times New Roman"/>
          <w:sz w:val="18"/>
          <w:szCs w:val="18"/>
          <w:color w:val="212529"/>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expenses. The Company had no direct incremental costs to obtain contracts that have an expected benefit of greater than one year.</w:t>
      </w:r>
    </w:p>
    <w:p>
      <w:pPr>
        <w:spacing w:after="0" w:line="209" w:lineRule="exact"/>
        <w:rPr>
          <w:sz w:val="20"/>
          <w:szCs w:val="20"/>
          <w:color w:val="auto"/>
        </w:rPr>
      </w:pPr>
    </w:p>
    <w:p>
      <w:pPr>
        <w:ind w:right="460" w:firstLine="316"/>
        <w:spacing w:after="0" w:line="227" w:lineRule="auto"/>
        <w:rPr>
          <w:sz w:val="20"/>
          <w:szCs w:val="20"/>
          <w:color w:val="auto"/>
        </w:rPr>
      </w:pPr>
      <w:r>
        <w:rPr>
          <w:rFonts w:ascii="Times New Roman" w:cs="Times New Roman" w:eastAsia="Times New Roman" w:hAnsi="Times New Roman"/>
          <w:sz w:val="18"/>
          <w:szCs w:val="18"/>
          <w:color w:val="212529"/>
        </w:rPr>
        <w:t xml:space="preserve">The Company applies the practical expedients and does not disclose transaction price allocated to the remaining performance obligations for (i) arrangements that have an original expected duration of one year or less, which mainly consist of the support and maintenance contracts, and (ii) variable consideration amounts for sale-based or usage-based royalties for intellectual property license arrangements, which typically range longer than one year. Remaining performance obligations are mainly attributed to right-to-access patent license arrangements, professional service arrangements and customer support and service contracts which will be recognized over the remaining contract period. The transaction price allocated to the remaining performance obligations 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xml:space="preserve"> was not material.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Supplemental Financial Statement Data</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43"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During the nine months ended March 31, 2023 and April 1, 2022, the Company sold trade accounts receivable aggregating $626 million and $100 million, respectively. The discounts on the trade accounts receivable sold were not material and were recorded within Other income, net in the Condensed Consolidated Statements of Operations. As of March 31, 2023 and July 1, 2022, the amount of factored receivables that remained outstanding was $235 million and $300 million, respectively.</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Work-in-process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0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2"/>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Furniture and fixtures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Construction-in-process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w:t>
            </w:r>
          </w:p>
        </w:tc>
      </w:tr>
      <w:tr>
        <w:trPr>
          <w:trHeight w:val="211"/>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6"/>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-1523365</wp:posOffset>
            </wp:positionV>
            <wp:extent cx="673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(5,360)</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right="20" w:firstLine="316"/>
        <w:spacing w:after="0" w:line="304" w:lineRule="auto"/>
        <w:rPr>
          <w:sz w:val="20"/>
          <w:szCs w:val="20"/>
          <w:color w:val="auto"/>
        </w:rPr>
      </w:pPr>
      <w:r>
        <w:rPr>
          <w:rFonts w:ascii="Times New Roman" w:cs="Times New Roman" w:eastAsia="Times New Roman" w:hAnsi="Times New Roman"/>
          <w:sz w:val="16"/>
          <w:szCs w:val="16"/>
          <w:color w:val="auto"/>
        </w:rPr>
        <w:t>As part of prior acquisitions, the Company recorded at the time of the acquisition acquired in-process research and development (“IPR&amp;D”) for projects in progress that had not yet reached technological feasibility. IPR&amp;D is initially accounted for as an indefinite-lived intangible asset. Once a project reaches technological feasibility, the Company reclassifies the balance to existing technology and begins to amortize the intangible asset over its estimated useful life.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60" w:right="27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8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10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25"/>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Pr>
          <w:p>
            <w:pPr>
              <w:spacing w:after="0"/>
              <w:rPr>
                <w:sz w:val="16"/>
                <w:szCs w:val="16"/>
                <w:color w:val="auto"/>
              </w:rPr>
            </w:pPr>
          </w:p>
        </w:tc>
        <w:tc>
          <w:tcPr>
            <w:tcW w:w="10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5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29"/>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top w:val="single" w:sz="8" w:color="auto"/>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-845185</wp:posOffset>
            </wp:positionV>
            <wp:extent cx="67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-845185</wp:posOffset>
            </wp:positionV>
            <wp:extent cx="67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-845185</wp:posOffset>
            </wp:positionV>
            <wp:extent cx="673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current portion of the warranty accrual is classified in Accrued expenses and the long-term portion is classified in Other liabilities as noted 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Warranty accrual: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5495" cy="133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Current portion (included in Accrued expenses)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Long-term portion (included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5495" cy="13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warranty accrual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2"/>
        </w:trPr>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5"/>
        </w:trPr>
        <w:tc>
          <w:tcPr>
            <w:tcW w:w="240" w:type="dxa"/>
            <w:vAlign w:val="bottom"/>
          </w:tcPr>
          <w:p>
            <w:pPr>
              <w:spacing w:after="0"/>
              <w:rPr>
                <w:sz w:val="16"/>
                <w:szCs w:val="16"/>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430"/>
        </w:trPr>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4"/>
                <w:szCs w:val="24"/>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5"/>
        </w:trPr>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-711200</wp:posOffset>
            </wp:positionV>
            <wp:extent cx="67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1" w:right="339" w:bottom="1440" w:gutter="0" w:footer="0" w:header="0"/>
          <w:type w:val="continuous"/>
        </w:sectPr>
      </w:pPr>
    </w:p>
    <w:p>
      <w:pPr>
        <w:spacing w:after="0" w:line="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net tax payable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unrecognized tax benefits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0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-845185</wp:posOffset>
            </wp:positionV>
            <wp:extent cx="673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43" w:lineRule="exact"/>
        <w:rPr>
          <w:sz w:val="20"/>
          <w:szCs w:val="20"/>
          <w:color w:val="auto"/>
        </w:rPr>
      </w:pPr>
    </w:p>
    <w:p>
      <w:pPr>
        <w:ind w:right="240" w:firstLine="316"/>
        <w:spacing w:after="0" w:line="264" w:lineRule="auto"/>
        <w:rPr>
          <w:sz w:val="20"/>
          <w:szCs w:val="20"/>
          <w:color w:val="auto"/>
        </w:rPr>
      </w:pPr>
      <w:r>
        <w:rPr>
          <w:rFonts w:ascii="Times New Roman" w:cs="Times New Roman" w:eastAsia="Times New Roman" w:hAnsi="Times New Roman"/>
          <w:sz w:val="18"/>
          <w:szCs w:val="18"/>
          <w:color w:val="auto"/>
        </w:rPr>
        <w:t>Accumulated other comprehensive loss (“AOCI”), net of tax refers to expenses, gains and losses that are recorded as an element of shareholders’ equity but are excluded from net income. The following table illustrates the changes in the balances of each component of AOCI:</w:t>
      </w:r>
    </w:p>
    <w:tbl>
      <w:tblPr>
        <w:tblLayout w:type="fixed"/>
        <w:tblInd w:w="0" w:type="dxa"/>
        <w:tblCellMar>
          <w:top w:w="0" w:type="dxa"/>
          <w:left w:w="0" w:type="dxa"/>
          <w:bottom w:w="0" w:type="dxa"/>
          <w:right w:w="0" w:type="dxa"/>
        </w:tblCellMar>
      </w:tblPr>
      <w:tr>
        <w:trPr>
          <w:trHeight w:val="145"/>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Actuarial Pension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Losses on</w:t>
            </w:r>
          </w:p>
        </w:tc>
        <w:tc>
          <w:tcPr>
            <w:tcW w:w="100" w:type="dxa"/>
            <w:vAlign w:val="bottom"/>
          </w:tcPr>
          <w:p>
            <w:pPr>
              <w:spacing w:after="0"/>
              <w:rPr>
                <w:sz w:val="12"/>
                <w:szCs w:val="12"/>
                <w:color w:val="auto"/>
              </w:rPr>
            </w:pPr>
          </w:p>
        </w:tc>
        <w:tc>
          <w:tcPr>
            <w:tcW w:w="134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3"/>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3"/>
          </w:tcPr>
          <w:p>
            <w:pPr>
              <w:jc w:val="right"/>
              <w:ind w:right="30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9"/>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09"/>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 loss</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-987425</wp:posOffset>
            </wp:positionV>
            <wp:extent cx="673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-987425</wp:posOffset>
            </wp:positionV>
            <wp:extent cx="67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-987425</wp:posOffset>
            </wp:positionV>
            <wp:extent cx="6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right="20" w:firstLine="316"/>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March 31, 2023, the amounts reclassified out of AOCI were losses related to foreign exchange contracts and gains related to interest rate swap contracts. Losses reclassified out of AOCI related to foreign exchange contracts were $79 million and $260 million for the three and nine months ended March 31, 2023, respectively, that were substantially charged to Cost of revenue in the Condensed Consolidated Statements of Operations. Gains reclassified out of AOCI related to interest rate swap contracts were $6 million and $10 million for the three and nine months ended March 31, 2023, respectively, that were charged to Interest expense in the Condensed Consolidated Statements of Operations.</w:t>
      </w:r>
    </w:p>
    <w:p>
      <w:pPr>
        <w:spacing w:after="0" w:line="214" w:lineRule="exact"/>
        <w:rPr>
          <w:sz w:val="20"/>
          <w:szCs w:val="20"/>
          <w:color w:val="auto"/>
        </w:rPr>
      </w:pPr>
    </w:p>
    <w:p>
      <w:pPr>
        <w:ind w:right="100" w:firstLine="316"/>
        <w:spacing w:after="0" w:line="257" w:lineRule="auto"/>
        <w:rPr>
          <w:sz w:val="20"/>
          <w:szCs w:val="20"/>
          <w:color w:val="auto"/>
        </w:rPr>
      </w:pPr>
      <w:r>
        <w:rPr>
          <w:rFonts w:ascii="Times New Roman" w:cs="Times New Roman" w:eastAsia="Times New Roman" w:hAnsi="Times New Roman"/>
          <w:sz w:val="18"/>
          <w:szCs w:val="18"/>
          <w:color w:val="auto"/>
        </w:rPr>
        <w:t>As of March 31, 2023, substantially all existing net losses related to cash flow hedges recorded in AOCI are expected to be reclassified to earnings within the next twelve months. In addition, as of March 31, 2023, the Company did not have any foreign exchange forward contracts with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Fair Value Measurements and Investments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43" w:lineRule="exact"/>
        <w:rPr>
          <w:sz w:val="20"/>
          <w:szCs w:val="20"/>
          <w:color w:val="auto"/>
        </w:rPr>
      </w:pPr>
    </w:p>
    <w:p>
      <w:pPr>
        <w:ind w:right="240" w:firstLine="316"/>
        <w:spacing w:after="0" w:line="269"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93"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w:t>
      </w:r>
    </w:p>
    <w:p>
      <w:pPr>
        <w:spacing w:after="0" w:line="241" w:lineRule="exact"/>
        <w:rPr>
          <w:sz w:val="20"/>
          <w:szCs w:val="20"/>
          <w:color w:val="auto"/>
        </w:rPr>
      </w:pPr>
    </w:p>
    <w:p>
      <w:pPr>
        <w:jc w:val="both"/>
        <w:ind w:left="960" w:right="140" w:hanging="632"/>
        <w:spacing w:after="0" w:line="257" w:lineRule="auto"/>
        <w:tabs>
          <w:tab w:leader="none" w:pos="9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6"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6"/>
          <w:szCs w:val="16"/>
          <w:color w:val="auto"/>
        </w:rPr>
        <w:t>Inputs that are unobservable for the asset or liability and that are significant to the fair value of the assets or liabilities.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July 1, 2022, and indicate the fair value hierarchy of the valuation techniques utilized to determine such values: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2"/>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1, 2022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 Money market funds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9"/>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0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9"/>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2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2"/>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-2896870</wp:posOffset>
            </wp:positionV>
            <wp:extent cx="673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-2896870</wp:posOffset>
            </wp:positionV>
            <wp:extent cx="67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-2896870</wp:posOffset>
            </wp:positionV>
            <wp:extent cx="67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6158865</wp:posOffset>
            </wp:positionH>
            <wp:positionV relativeFrom="paragraph">
              <wp:posOffset>-1272540</wp:posOffset>
            </wp:positionV>
            <wp:extent cx="67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-1272540</wp:posOffset>
            </wp:positionV>
            <wp:extent cx="67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-1272540</wp:posOffset>
            </wp:positionV>
            <wp:extent cx="673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right="520" w:firstLine="316"/>
        <w:spacing w:after="0" w:line="269"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assets and liabilities between levels and there were no changes in valuation techniques or the inputs used in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43" w:lineRule="exact"/>
        <w:rPr>
          <w:sz w:val="20"/>
          <w:szCs w:val="20"/>
          <w:color w:val="auto"/>
        </w:rPr>
      </w:pPr>
    </w:p>
    <w:p>
      <w:pPr>
        <w:ind w:right="60" w:firstLine="316"/>
        <w:spacing w:after="0" w:line="253"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2023 and the fourth quarter of 2022, respectively.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000" w:type="dxa"/>
            <w:vAlign w:val="bottom"/>
          </w:tcPr>
          <w:p>
            <w:pPr>
              <w:spacing w:after="0"/>
              <w:rPr>
                <w:sz w:val="16"/>
                <w:szCs w:val="16"/>
                <w:color w:val="auto"/>
              </w:rPr>
            </w:pPr>
          </w:p>
        </w:tc>
      </w:tr>
      <w:tr>
        <w:trPr>
          <w:trHeight w:val="24"/>
        </w:trPr>
        <w:tc>
          <w:tcPr>
            <w:tcW w:w="5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7"/>
        </w:trPr>
        <w:tc>
          <w:tcPr>
            <w:tcW w:w="5220" w:type="dxa"/>
            <w:vAlign w:val="bottom"/>
          </w:tcPr>
          <w:p>
            <w:pPr>
              <w:spacing w:after="0"/>
              <w:rPr>
                <w:sz w:val="11"/>
                <w:szCs w:val="11"/>
                <w:color w:val="auto"/>
              </w:rPr>
            </w:pPr>
          </w:p>
        </w:tc>
        <w:tc>
          <w:tcPr>
            <w:tcW w:w="100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404"/>
              <w:spacing w:after="0" w:line="12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503"/>
              <w:spacing w:after="0" w:line="12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1"/>
        </w:trPr>
        <w:tc>
          <w:tcPr>
            <w:tcW w:w="5220" w:type="dxa"/>
            <w:vAlign w:val="bottom"/>
          </w:tcPr>
          <w:p>
            <w:pPr>
              <w:spacing w:after="0"/>
              <w:rPr>
                <w:sz w:val="16"/>
                <w:szCs w:val="16"/>
                <w:color w:val="auto"/>
              </w:rPr>
            </w:pPr>
          </w:p>
        </w:tc>
        <w:tc>
          <w:tcPr>
            <w:tcW w:w="10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2,292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2,692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unsecured notes due 2029</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unsecured notes due 2032</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4"/>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7,073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-979170</wp:posOffset>
            </wp:positionV>
            <wp:extent cx="67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-979170</wp:posOffset>
            </wp:positionV>
            <wp:extent cx="67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6"/>
          <w:szCs w:val="16"/>
          <w:b w:val="1"/>
          <w:bCs w:val="1"/>
          <w:color w:val="auto"/>
        </w:rPr>
        <w:t>Derivative Instruments and Hedging Activities</w:t>
      </w:r>
    </w:p>
    <w:p>
      <w:pPr>
        <w:spacing w:after="0" w:line="243" w:lineRule="exact"/>
        <w:rPr>
          <w:sz w:val="20"/>
          <w:szCs w:val="20"/>
          <w:color w:val="auto"/>
        </w:rPr>
      </w:pPr>
    </w:p>
    <w:p>
      <w:pPr>
        <w:ind w:right="700" w:firstLine="316"/>
        <w:spacing w:after="0" w:line="269" w:lineRule="auto"/>
        <w:rPr>
          <w:sz w:val="20"/>
          <w:szCs w:val="20"/>
          <w:color w:val="auto"/>
        </w:rPr>
      </w:pPr>
      <w:r>
        <w:rPr>
          <w:rFonts w:ascii="Times New Roman" w:cs="Times New Roman" w:eastAsia="Times New Roman" w:hAnsi="Times New Roman"/>
          <w:sz w:val="18"/>
          <w:szCs w:val="18"/>
          <w:color w:val="auto"/>
        </w:rPr>
        <w:t>As of March 31, 2023, the Company had outstanding foreign exchange forward contracts that were designated as either cash flow hedges or non-designated hedges. Substantially all of the contract maturity dates of these foreign exchange forward contracts do not exceed 12 months.</w:t>
      </w:r>
    </w:p>
    <w:p>
      <w:pPr>
        <w:spacing w:after="0" w:line="195" w:lineRule="exact"/>
        <w:rPr>
          <w:sz w:val="20"/>
          <w:szCs w:val="20"/>
          <w:color w:val="auto"/>
        </w:rPr>
      </w:pPr>
    </w:p>
    <w:p>
      <w:pPr>
        <w:ind w:firstLine="316"/>
        <w:spacing w:after="0" w:line="253" w:lineRule="auto"/>
        <w:rPr>
          <w:sz w:val="20"/>
          <w:szCs w:val="20"/>
          <w:color w:val="auto"/>
        </w:rPr>
      </w:pPr>
      <w:r>
        <w:rPr>
          <w:rFonts w:ascii="Times New Roman" w:cs="Times New Roman" w:eastAsia="Times New Roman" w:hAnsi="Times New Roman"/>
          <w:sz w:val="18"/>
          <w:szCs w:val="18"/>
          <w:color w:val="auto"/>
        </w:rPr>
        <w:t>Changes in fair values of the non-designated foreign exchange contracts are recognized in Other income, net and are largely offset by corresponding changes in the fair values of the foreign currency denominated monetary assets and liabilities. For each of the three and nine months ended March 31, 2023 and April 1, 2022, total net realized and unrealized transaction and foreign exchange contract currency gains and losses were not material to the Company’s Condensed Consolidated Financial Statements.</w:t>
      </w:r>
    </w:p>
    <w:p>
      <w:pPr>
        <w:spacing w:after="0" w:line="209" w:lineRule="exact"/>
        <w:rPr>
          <w:sz w:val="20"/>
          <w:szCs w:val="20"/>
          <w:color w:val="auto"/>
        </w:rPr>
      </w:pPr>
    </w:p>
    <w:p>
      <w:pPr>
        <w:ind w:right="620" w:firstLine="316"/>
        <w:spacing w:after="0" w:line="269" w:lineRule="auto"/>
        <w:rPr>
          <w:sz w:val="20"/>
          <w:szCs w:val="20"/>
          <w:color w:val="auto"/>
        </w:rPr>
      </w:pPr>
      <w:r>
        <w:rPr>
          <w:rFonts w:ascii="Times New Roman" w:cs="Times New Roman" w:eastAsia="Times New Roman" w:hAnsi="Times New Roman"/>
          <w:sz w:val="18"/>
          <w:szCs w:val="18"/>
          <w:color w:val="auto"/>
        </w:rPr>
        <w:t xml:space="preserve">Unrealized gains or losses on designated cash flow hedges are recognized in AOCI. For more information regarding cash flow hedges, see Note 5, </w:t>
      </w:r>
      <w:r>
        <w:rPr>
          <w:rFonts w:ascii="Times New Roman" w:cs="Times New Roman" w:eastAsia="Times New Roman" w:hAnsi="Times New Roman"/>
          <w:sz w:val="18"/>
          <w:szCs w:val="18"/>
          <w:i w:val="1"/>
          <w:iCs w:val="1"/>
          <w:color w:val="auto"/>
        </w:rPr>
        <w:t>Supplemental Financial Statement Data - Accumulated other comprehensive loss.</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43" w:lineRule="exact"/>
        <w:rPr>
          <w:sz w:val="20"/>
          <w:szCs w:val="20"/>
          <w:color w:val="auto"/>
        </w:rPr>
      </w:pPr>
    </w:p>
    <w:p>
      <w:pPr>
        <w:ind w:right="20" w:firstLine="316"/>
        <w:spacing w:after="0" w:line="294" w:lineRule="auto"/>
        <w:rPr>
          <w:sz w:val="20"/>
          <w:szCs w:val="20"/>
          <w:color w:val="auto"/>
        </w:rPr>
      </w:pPr>
      <w:r>
        <w:rPr>
          <w:rFonts w:ascii="Times New Roman" w:cs="Times New Roman" w:eastAsia="Times New Roman" w:hAnsi="Times New Roman"/>
          <w:sz w:val="16"/>
          <w:szCs w:val="16"/>
          <w:color w:val="auto"/>
        </w:rPr>
        <w:t>Under certain provisions and conditions within agreements with counterparties to the Company’s foreign exchange forward contracts, subject to applicable requirements, the Company has the right of offset associated with the Company’s foreign exchange forward contracts and is allowed to net settle transactions of the same currency with a single net amount payable by one party to the other. As of March 31, 2023 and July 1, 2022, the effect of rights of offset was not material and the Company did not offset or net the fair value amounts of derivative instruments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1.50% convertible notes due 2024</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 senior unsecured notes due 2026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interest rate Term Loan A-2 maturing 2027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2.85% senior unsecured notes due 2029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3.10% senior unsecured notes due 2032</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r>
      <w:tr>
        <w:trPr>
          <w:trHeight w:val="211"/>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7,022</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-1532255</wp:posOffset>
            </wp:positionV>
            <wp:extent cx="6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right="480" w:firstLine="316"/>
        <w:spacing w:after="0" w:line="254" w:lineRule="auto"/>
        <w:rPr>
          <w:sz w:val="20"/>
          <w:szCs w:val="20"/>
          <w:color w:val="auto"/>
        </w:rPr>
      </w:pPr>
      <w:r>
        <w:rPr>
          <w:rFonts w:ascii="Times New Roman" w:cs="Times New Roman" w:eastAsia="Times New Roman" w:hAnsi="Times New Roman"/>
          <w:sz w:val="18"/>
          <w:szCs w:val="18"/>
          <w:color w:val="auto"/>
        </w:rPr>
        <w:t>During the nine months ended March 31, 2023, the Company drew and repaid $1.18 billion principal amount under its $2.25 billion revolving credit facility maturing in January 2027 (the “2027 Revolving Credit Facility”).</w:t>
      </w:r>
    </w:p>
    <w:p>
      <w:pPr>
        <w:spacing w:after="0" w:line="195" w:lineRule="exact"/>
        <w:rPr>
          <w:sz w:val="20"/>
          <w:szCs w:val="20"/>
          <w:color w:val="auto"/>
        </w:rPr>
      </w:pPr>
    </w:p>
    <w:p>
      <w:pPr>
        <w:ind w:right="60" w:firstLine="316"/>
        <w:spacing w:after="0" w:line="234" w:lineRule="auto"/>
        <w:rPr>
          <w:sz w:val="20"/>
          <w:szCs w:val="20"/>
          <w:color w:val="auto"/>
        </w:rPr>
      </w:pPr>
      <w:r>
        <w:rPr>
          <w:rFonts w:ascii="Times New Roman" w:cs="Times New Roman" w:eastAsia="Times New Roman" w:hAnsi="Times New Roman"/>
          <w:sz w:val="18"/>
          <w:szCs w:val="18"/>
          <w:color w:val="auto"/>
        </w:rPr>
        <w:t>In December 2022, the Company amended the credit agreement governing the 2027 Revolving Credit Facility and Term Loan A-2 for the purposes of providing flexibility by adjusting the leverage ratio requirements of the financial covenant thereunder through the Company’s quarter ending September 27, 2024 (such period, the “Covenant Relief Period”). As amended, the Company is required to maintain a maximum ratio (“Leverage Ratio”) of total funded debt to trailing twelve-month Consolidated Adjusted EBITDA (as defined in the Credit Agreement) at the end of each quarter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8"/>
              </w:rPr>
              <w:t>Quarter ending:</w:t>
            </w:r>
          </w:p>
        </w:tc>
        <w:tc>
          <w:tcPr>
            <w:tcW w:w="5320" w:type="dxa"/>
            <w:vAlign w:val="bottom"/>
            <w:tcBorders>
              <w:bottom w:val="single" w:sz="8" w:color="auto"/>
            </w:tcBorders>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7"/>
              </w:rPr>
              <w:t>Leverage ratio</w:t>
            </w:r>
          </w:p>
        </w:tc>
      </w:tr>
      <w:tr>
        <w:trPr>
          <w:trHeight w:val="202"/>
        </w:trPr>
        <w:tc>
          <w:tcPr>
            <w:tcW w:w="59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8"/>
              </w:rPr>
              <w:t>March 31, 2023</w:t>
            </w:r>
          </w:p>
        </w:tc>
        <w:tc>
          <w:tcPr>
            <w:tcW w:w="53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3.75 to 1.00</w:t>
            </w:r>
          </w:p>
        </w:tc>
      </w:tr>
      <w:tr>
        <w:trPr>
          <w:trHeight w:val="213"/>
        </w:trPr>
        <w:tc>
          <w:tcPr>
            <w:tcW w:w="59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8"/>
              </w:rPr>
              <w:t>June 30, 2023</w:t>
            </w:r>
          </w:p>
        </w:tc>
        <w:tc>
          <w:tcPr>
            <w:tcW w:w="53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9"/>
              </w:rPr>
              <w:t>4.75 to 1.00</w:t>
            </w:r>
          </w:p>
        </w:tc>
      </w:tr>
      <w:tr>
        <w:trPr>
          <w:trHeight w:val="209"/>
        </w:trPr>
        <w:tc>
          <w:tcPr>
            <w:tcW w:w="59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September 29, 2023</w:t>
            </w:r>
          </w:p>
        </w:tc>
        <w:tc>
          <w:tcPr>
            <w:tcW w:w="53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5.00 to 1.00</w:t>
            </w:r>
          </w:p>
        </w:tc>
      </w:tr>
      <w:tr>
        <w:trPr>
          <w:trHeight w:val="213"/>
        </w:trPr>
        <w:tc>
          <w:tcPr>
            <w:tcW w:w="59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8"/>
              </w:rPr>
              <w:t>December 29, 2023</w:t>
            </w:r>
          </w:p>
        </w:tc>
        <w:tc>
          <w:tcPr>
            <w:tcW w:w="53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9"/>
              </w:rPr>
              <w:t>4.75 to 1.00</w:t>
            </w:r>
          </w:p>
        </w:tc>
      </w:tr>
      <w:tr>
        <w:trPr>
          <w:trHeight w:val="209"/>
        </w:trPr>
        <w:tc>
          <w:tcPr>
            <w:tcW w:w="59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8"/>
              </w:rPr>
              <w:t>March 29, 2024</w:t>
            </w:r>
          </w:p>
        </w:tc>
        <w:tc>
          <w:tcPr>
            <w:tcW w:w="53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4.50 to 1.00</w:t>
            </w:r>
          </w:p>
        </w:tc>
      </w:tr>
      <w:tr>
        <w:trPr>
          <w:trHeight w:val="213"/>
        </w:trPr>
        <w:tc>
          <w:tcPr>
            <w:tcW w:w="59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8"/>
              </w:rPr>
              <w:t>June 28, 2024</w:t>
            </w:r>
          </w:p>
        </w:tc>
        <w:tc>
          <w:tcPr>
            <w:tcW w:w="53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9"/>
              </w:rPr>
              <w:t>4.25 to 1.00</w:t>
            </w:r>
          </w:p>
        </w:tc>
      </w:tr>
      <w:tr>
        <w:trPr>
          <w:trHeight w:val="209"/>
        </w:trPr>
        <w:tc>
          <w:tcPr>
            <w:tcW w:w="59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September 27, 2024</w:t>
            </w:r>
          </w:p>
        </w:tc>
        <w:tc>
          <w:tcPr>
            <w:tcW w:w="5320" w:type="dxa"/>
            <w:vAlign w:val="bottom"/>
          </w:tcPr>
          <w:p>
            <w:pPr>
              <w:jc w:val="center"/>
              <w:ind w:right="201"/>
              <w:spacing w:after="0"/>
              <w:rPr>
                <w:sz w:val="20"/>
                <w:szCs w:val="20"/>
                <w:color w:val="auto"/>
              </w:rPr>
            </w:pPr>
            <w:r>
              <w:rPr>
                <w:rFonts w:ascii="Times New Roman" w:cs="Times New Roman" w:eastAsia="Times New Roman" w:hAnsi="Times New Roman"/>
                <w:sz w:val="16"/>
                <w:szCs w:val="16"/>
                <w:color w:val="auto"/>
                <w:w w:val="99"/>
              </w:rPr>
              <w:t>3.75 to 1.00</w:t>
            </w:r>
          </w:p>
        </w:tc>
      </w:tr>
      <w:tr>
        <w:trPr>
          <w:trHeight w:val="213"/>
        </w:trPr>
        <w:tc>
          <w:tcPr>
            <w:tcW w:w="59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8"/>
              </w:rPr>
              <w:t>December 27, 2024 and thereafter</w:t>
            </w:r>
          </w:p>
        </w:tc>
        <w:tc>
          <w:tcPr>
            <w:tcW w:w="5320" w:type="dxa"/>
            <w:vAlign w:val="bottom"/>
            <w:shd w:val="clear" w:color="auto" w:fill="CCEEFF"/>
          </w:tcPr>
          <w:p>
            <w:pPr>
              <w:jc w:val="center"/>
              <w:ind w:right="201"/>
              <w:spacing w:after="0"/>
              <w:rPr>
                <w:sz w:val="20"/>
                <w:szCs w:val="20"/>
                <w:color w:val="auto"/>
              </w:rPr>
            </w:pPr>
            <w:r>
              <w:rPr>
                <w:rFonts w:ascii="Times New Roman" w:cs="Times New Roman" w:eastAsia="Times New Roman" w:hAnsi="Times New Roman"/>
                <w:sz w:val="16"/>
                <w:szCs w:val="16"/>
                <w:color w:val="auto"/>
                <w:w w:val="99"/>
              </w:rPr>
              <w:t>3.25 to 1.00</w:t>
            </w:r>
          </w:p>
        </w:tc>
      </w:tr>
    </w:tbl>
    <w:p>
      <w:pPr>
        <w:spacing w:after="0" w:line="311" w:lineRule="exact"/>
        <w:rPr>
          <w:sz w:val="20"/>
          <w:szCs w:val="20"/>
          <w:color w:val="auto"/>
        </w:rPr>
      </w:pPr>
    </w:p>
    <w:p>
      <w:pPr>
        <w:ind w:right="40" w:firstLine="316"/>
        <w:spacing w:after="0" w:line="248" w:lineRule="auto"/>
        <w:rPr>
          <w:sz w:val="20"/>
          <w:szCs w:val="20"/>
          <w:color w:val="auto"/>
        </w:rPr>
      </w:pPr>
      <w:r>
        <w:rPr>
          <w:rFonts w:ascii="Times New Roman" w:cs="Times New Roman" w:eastAsia="Times New Roman" w:hAnsi="Times New Roman"/>
          <w:sz w:val="18"/>
          <w:szCs w:val="18"/>
          <w:color w:val="auto"/>
        </w:rPr>
        <w:t>As of March 31, 2023, the Company was in compliance with this financial covenant. The amendment also provides that the due date for amounts outstanding under the Credit Agreement will be accelerated from January 7, 2027 to November 2, 2023 if, as of that date, the Company does not have cash and cash equivalents plus available unused capacity under its credit facilities that exceed by $1 billion the sum of the outstanding balance of the 1.50% convertible notes due 2024 plus the outstanding principal amount of any other debt maturing within 12 months. In addition, during the Covenant Relief Period, the amendment requires certain subsidiaries of the Company to provide guarantees if the corporate family ratings of the Company from at least two of Standard &amp; Poor’s Ratings Services, Moody’s Investors Service, Inc. and Fitch, Inc. (the “Credit Rating Agencies”) drops below investment grade and includes limits on secured indebtedness and certain types of unsecured subsidiary indebtedness.</w:t>
      </w:r>
    </w:p>
    <w:p>
      <w:pPr>
        <w:spacing w:after="0" w:line="204" w:lineRule="exact"/>
        <w:rPr>
          <w:sz w:val="20"/>
          <w:szCs w:val="20"/>
          <w:color w:val="auto"/>
        </w:rPr>
      </w:pPr>
    </w:p>
    <w:p>
      <w:pPr>
        <w:jc w:val="both"/>
        <w:ind w:right="140" w:firstLine="316"/>
        <w:spacing w:after="0" w:line="238" w:lineRule="auto"/>
        <w:rPr>
          <w:sz w:val="20"/>
          <w:szCs w:val="20"/>
          <w:color w:val="auto"/>
        </w:rPr>
      </w:pPr>
      <w:r>
        <w:rPr>
          <w:rFonts w:ascii="Times New Roman" w:cs="Times New Roman" w:eastAsia="Times New Roman" w:hAnsi="Times New Roman"/>
          <w:sz w:val="18"/>
          <w:szCs w:val="18"/>
          <w:color w:val="auto"/>
        </w:rPr>
        <w:t>In January 2023, the Company entered into a loan agreement (the “Delayed Draw Term Loan Agreement”), which allows the Company to draw a single unsecured loan of up to $875 million (the “Delayed Draw Term Loan”) through June 30, 2023. The Delayed Draw Term Loan Agreement may be terminated, at the election of the Company, at any time without premium or penalty, subject to certain conditions. As of March 31, 2023, the Company had not drawn on the Delayed Draw Term Loan.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60" w:right="27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16"/>
        <w:spacing w:after="0" w:line="254" w:lineRule="auto"/>
        <w:rPr>
          <w:sz w:val="20"/>
          <w:szCs w:val="20"/>
          <w:color w:val="auto"/>
        </w:rPr>
      </w:pPr>
      <w:r>
        <w:rPr>
          <w:rFonts w:ascii="Times New Roman" w:cs="Times New Roman" w:eastAsia="Times New Roman" w:hAnsi="Times New Roman"/>
          <w:sz w:val="18"/>
          <w:szCs w:val="18"/>
          <w:color w:val="auto"/>
        </w:rPr>
        <w:t>Any amount drawn under the Delayed Draw Term Loan Agreement will mature 364 days following the date of the initial draw. However, the due date will be accelerated to November 2, 2023 if conditions for acceleration of amounts due under the Credit Agreement have been triggered as described above.</w:t>
      </w:r>
    </w:p>
    <w:p>
      <w:pPr>
        <w:spacing w:after="0" w:line="195" w:lineRule="exact"/>
        <w:rPr>
          <w:sz w:val="20"/>
          <w:szCs w:val="20"/>
          <w:color w:val="auto"/>
        </w:rPr>
      </w:pPr>
    </w:p>
    <w:p>
      <w:pPr>
        <w:ind w:right="80" w:firstLine="316"/>
        <w:spacing w:after="0" w:line="238" w:lineRule="auto"/>
        <w:rPr>
          <w:sz w:val="20"/>
          <w:szCs w:val="20"/>
          <w:color w:val="auto"/>
        </w:rPr>
      </w:pPr>
      <w:r>
        <w:rPr>
          <w:rFonts w:ascii="Times New Roman" w:cs="Times New Roman" w:eastAsia="Times New Roman" w:hAnsi="Times New Roman"/>
          <w:sz w:val="18"/>
          <w:szCs w:val="18"/>
          <w:color w:val="auto"/>
        </w:rPr>
        <w:t>The Delayed Draw Term Loan will bear interest, at the Company’s option, at a per annum rate equal to either (x) the Adjusted Term SOFR Rate (as defined in the Delayed Draw Term Loan Agreement) plus an applicable margin varying from 1.750% to 2.625% or (y) a base rate plus an applicable margin varying from 0.750% to 1.625%, in each case depending on the corporate family ratings of the Company from at least two of the Credit Rating Agencies. The Company will also pay an unused commitment fee on the Delayed Draw Term Loan Agreement of 0.200%.</w:t>
      </w:r>
    </w:p>
    <w:p>
      <w:pPr>
        <w:spacing w:after="0" w:line="208" w:lineRule="exact"/>
        <w:rPr>
          <w:sz w:val="20"/>
          <w:szCs w:val="20"/>
          <w:color w:val="auto"/>
        </w:rPr>
      </w:pPr>
    </w:p>
    <w:p>
      <w:pPr>
        <w:ind w:right="340" w:firstLine="316"/>
        <w:spacing w:after="0" w:line="239" w:lineRule="auto"/>
        <w:rPr>
          <w:sz w:val="20"/>
          <w:szCs w:val="20"/>
          <w:color w:val="auto"/>
        </w:rPr>
      </w:pPr>
      <w:r>
        <w:rPr>
          <w:rFonts w:ascii="Times New Roman" w:cs="Times New Roman" w:eastAsia="Times New Roman" w:hAnsi="Times New Roman"/>
          <w:sz w:val="18"/>
          <w:szCs w:val="18"/>
          <w:color w:val="auto"/>
        </w:rPr>
        <w:t>The key covenants, limitations and requirements provided under the Credit Agreement amendment noted above also apply to the Delayed Draw Term Loan Agreement.</w:t>
      </w:r>
    </w:p>
    <w:p>
      <w:pPr>
        <w:spacing w:after="0" w:line="219" w:lineRule="exact"/>
        <w:rPr>
          <w:sz w:val="20"/>
          <w:szCs w:val="20"/>
          <w:color w:val="auto"/>
        </w:rPr>
      </w:pPr>
    </w:p>
    <w:p>
      <w:pPr>
        <w:jc w:val="both"/>
        <w:ind w:right="200" w:firstLine="316"/>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the Company adopted ASU 2020-06 effective July 2, 2022, using a modified retrospective method, which resulted in the elimination of the originally recorded debt discount associated with the conversion feature on its 1.50% convertible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Pension and Other Post-Retirement Benefit Plans</w:t>
      </w:r>
    </w:p>
    <w:p>
      <w:pPr>
        <w:spacing w:after="0" w:line="243" w:lineRule="exact"/>
        <w:rPr>
          <w:sz w:val="20"/>
          <w:szCs w:val="20"/>
          <w:color w:val="auto"/>
        </w:rPr>
      </w:pPr>
    </w:p>
    <w:p>
      <w:pPr>
        <w:jc w:val="both"/>
        <w:ind w:right="20" w:firstLine="316"/>
        <w:spacing w:after="0" w:line="253"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Thailand and the Philippines. All pension and other post-retirement benefit plans outside of the Company’s Japan, Thailand and the Philippines defined benefit pension plans (the “Pension Plans”) are immaterial to the Condensed Consolidated Financial Statements. The expected long-term rate of return on the Pension Plans assets is 2.5%.</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Pension Plans: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10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end of period</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Unfunded status</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the unfunded amounts related to the Pension Plans as recognized on the Company’s Condensed Consolidated Balance Sheets: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2"/>
        </w:trPr>
        <w:tc>
          <w:tcPr>
            <w:tcW w:w="8280" w:type="dxa"/>
            <w:vAlign w:val="bottom"/>
          </w:tcPr>
          <w:p>
            <w:pPr>
              <w:spacing w:after="0"/>
              <w:rPr>
                <w:sz w:val="16"/>
                <w:szCs w:val="16"/>
                <w:color w:val="auto"/>
              </w:rPr>
            </w:pPr>
          </w:p>
        </w:tc>
        <w:tc>
          <w:tcPr>
            <w:tcW w:w="10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8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-577215</wp:posOffset>
            </wp:positionV>
            <wp:extent cx="6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periodic benefit costs were not material for the three and nine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6"/>
          <w:szCs w:val="16"/>
          <w:b w:val="1"/>
          <w:bCs w:val="1"/>
          <w:color w:val="auto"/>
        </w:rPr>
        <w:t>Related Parties and Related Commitments and Contingencies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43" w:lineRule="exact"/>
        <w:rPr>
          <w:sz w:val="20"/>
          <w:szCs w:val="20"/>
          <w:color w:val="auto"/>
        </w:rPr>
      </w:pPr>
    </w:p>
    <w:p>
      <w:pPr>
        <w:ind w:right="60" w:firstLine="316"/>
        <w:spacing w:after="0" w:line="269" w:lineRule="auto"/>
        <w:rPr>
          <w:sz w:val="20"/>
          <w:szCs w:val="20"/>
          <w:color w:val="auto"/>
        </w:rPr>
      </w:pPr>
      <w:r>
        <w:rPr>
          <w:rFonts w:ascii="Times New Roman" w:cs="Times New Roman" w:eastAsia="Times New Roman" w:hAnsi="Times New Roman"/>
          <w:sz w:val="18"/>
          <w:szCs w:val="18"/>
          <w:color w:val="auto"/>
        </w:rPr>
        <w:t>The Company’s business ventures with Kioxia Corporation (“Kioxia”) consist of three separate legal entities: Flash Partners Ltd. (“Flash Partners”), Flash Alliance Ltd. (“Flash Alliance”), and Flash Forward Ltd. (“Flash Forward”), collectively referred to as “Flash Ventures”.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10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2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right="260" w:firstLine="316"/>
        <w:spacing w:after="0" w:line="269" w:lineRule="auto"/>
        <w:rPr>
          <w:sz w:val="20"/>
          <w:szCs w:val="20"/>
          <w:color w:val="auto"/>
        </w:rPr>
      </w:pPr>
      <w:r>
        <w:rPr>
          <w:rFonts w:ascii="Times New Roman" w:cs="Times New Roman" w:eastAsia="Times New Roman" w:hAnsi="Times New Roman"/>
          <w:sz w:val="18"/>
          <w:szCs w:val="18"/>
          <w:color w:val="auto"/>
        </w:rPr>
        <w:t>During the three and nine months ended March 31, 2023 and April 1, 2022, the Company made net payments to Flash Ventures of $1.2 billion and $3.2 billion, and $1.1 billion and $3.4 billion, respectively, for purchased flash-based memory wafers and net loans.</w:t>
      </w:r>
    </w:p>
    <w:p>
      <w:pPr>
        <w:spacing w:after="0" w:line="195" w:lineRule="exact"/>
        <w:rPr>
          <w:sz w:val="20"/>
          <w:szCs w:val="20"/>
          <w:color w:val="auto"/>
        </w:rPr>
      </w:pPr>
    </w:p>
    <w:p>
      <w:pPr>
        <w:ind w:right="260" w:firstLine="316"/>
        <w:spacing w:after="0" w:line="294" w:lineRule="auto"/>
        <w:rPr>
          <w:sz w:val="20"/>
          <w:szCs w:val="20"/>
          <w:color w:val="auto"/>
        </w:rPr>
      </w:pPr>
      <w:r>
        <w:rPr>
          <w:rFonts w:ascii="Times New Roman" w:cs="Times New Roman" w:eastAsia="Times New Roman" w:hAnsi="Times New Roman"/>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March 31, 2023 and July 1, 2022, the Company had accounts payable balances due to Flash Ventures of $265 million and $320 million, respectively.</w:t>
      </w:r>
    </w:p>
    <w:p>
      <w:pPr>
        <w:spacing w:after="0" w:line="264" w:lineRule="exact"/>
        <w:rPr>
          <w:sz w:val="20"/>
          <w:szCs w:val="20"/>
          <w:color w:val="auto"/>
        </w:rPr>
      </w:pPr>
    </w:p>
    <w:p>
      <w:pPr>
        <w:ind w:right="220" w:firstLine="316"/>
        <w:spacing w:after="0" w:line="289" w:lineRule="auto"/>
        <w:rPr>
          <w:sz w:val="20"/>
          <w:szCs w:val="20"/>
          <w:color w:val="auto"/>
        </w:rPr>
      </w:pPr>
      <w:r>
        <w:rPr>
          <w:rFonts w:ascii="Times New Roman" w:cs="Times New Roman" w:eastAsia="Times New Roman" w:hAnsi="Times New Roman"/>
          <w:sz w:val="16"/>
          <w:szCs w:val="16"/>
          <w:color w:val="auto"/>
        </w:rPr>
        <w:t>The Company’s maximum reasonably estimable loss exposure (excluding lost profits) as a result of its involvement with Flash Ventures, based upon the Japanese yen to U.S. dollar exchange rate at March 31, 2023, is presented below. Investments in Flash Ventures are denominated in Japanese yen, and the maximum estimable loss exposure excludes any cumulative translation adjustment due to revaluation from the Japanese yen to the U.S. dollar.</w:t>
      </w:r>
    </w:p>
    <w:tbl>
      <w:tblPr>
        <w:tblLayout w:type="fixed"/>
        <w:tblInd w:w="0" w:type="dxa"/>
        <w:tblCellMar>
          <w:top w:w="0" w:type="dxa"/>
          <w:left w:w="0" w:type="dxa"/>
          <w:bottom w:w="0" w:type="dxa"/>
          <w:right w:w="0" w:type="dxa"/>
        </w:tblCellMar>
      </w:tblPr>
      <w:tr>
        <w:trPr>
          <w:trHeight w:val="145"/>
        </w:trPr>
        <w:tc>
          <w:tcPr>
            <w:tcW w:w="9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4"/>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2"/>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4"/>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r>
      <w:tr>
        <w:trPr>
          <w:trHeight w:val="21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and prepayments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31"/>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in producing its share of Flash Ventures’ flash-based memory wafer supply, based on its three-month forecast, which generally equals 50% of Flash Ventures’ output. In addition, the Company is obligated to pay for half of Flash Ventures’ fixed costs regardless of the output the Company chooses to purchase.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each Flash Ventures entity’s operating cash flow is insufficient to fund these investments.</w:t>
      </w:r>
    </w:p>
    <w:p>
      <w:pPr>
        <w:spacing w:after="0" w:line="215" w:lineRule="exact"/>
        <w:rPr>
          <w:sz w:val="20"/>
          <w:szCs w:val="20"/>
          <w:color w:val="auto"/>
        </w:rPr>
      </w:pPr>
    </w:p>
    <w:p>
      <w:pPr>
        <w:ind w:right="60" w:firstLine="316"/>
        <w:spacing w:after="0" w:line="250" w:lineRule="auto"/>
        <w:rPr>
          <w:sz w:val="20"/>
          <w:szCs w:val="20"/>
          <w:color w:val="auto"/>
        </w:rPr>
      </w:pPr>
      <w:r>
        <w:rPr>
          <w:rFonts w:ascii="Times New Roman" w:cs="Times New Roman" w:eastAsia="Times New Roman" w:hAnsi="Times New Roman"/>
          <w:sz w:val="18"/>
          <w:szCs w:val="18"/>
          <w:color w:val="auto"/>
        </w:rPr>
        <w:t>In January 2022, the Company entered into additional agreements regarding Flash Ventures’ investment in a new wafer fabrication facility currently under construction in Yokkaichi, Japan, referred to as “Y7”. The primary purpose of Y7 is to provide clean room space to continue the transition of existing flash-based wafer capacity to newer flash technology nodes. The Company is committed to pay, among other items, future building depreciation prepayments aggregating approximately $70 million as follows: $47 million for the remaining three months of 2023 and $23 million in 2024, to be credited against future wafer charges.</w:t>
      </w:r>
    </w:p>
    <w:p>
      <w:pPr>
        <w:spacing w:after="0" w:line="212" w:lineRule="exact"/>
        <w:rPr>
          <w:sz w:val="20"/>
          <w:szCs w:val="20"/>
          <w:color w:val="auto"/>
        </w:rPr>
      </w:pPr>
    </w:p>
    <w:p>
      <w:pPr>
        <w:ind w:right="400" w:firstLine="31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under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190" w:lineRule="exact"/>
        <w:rPr>
          <w:sz w:val="20"/>
          <w:szCs w:val="20"/>
          <w:color w:val="auto"/>
        </w:rPr>
      </w:pPr>
    </w:p>
    <w:p>
      <w:pPr>
        <w:ind w:right="920" w:firstLine="316"/>
        <w:spacing w:after="0" w:line="336"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Activities. </w:t>
      </w:r>
      <w:r>
        <w:rPr>
          <w:rFonts w:ascii="Times New Roman" w:cs="Times New Roman" w:eastAsia="Times New Roman" w:hAnsi="Times New Roman"/>
          <w:sz w:val="16"/>
          <w:szCs w:val="16"/>
          <w:color w:val="auto"/>
        </w:rPr>
        <w:t>The Company participates in common research and development (“R&amp;D”) activities with Kioxia and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contractually committed to a minimum funding level. R&amp;D commitments are immaterial to the Condensed Consolidated Financial Statements.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43" w:lineRule="exact"/>
        <w:rPr>
          <w:sz w:val="20"/>
          <w:szCs w:val="20"/>
          <w:color w:val="auto"/>
        </w:rPr>
      </w:pPr>
    </w:p>
    <w:p>
      <w:pPr>
        <w:ind w:right="60" w:firstLine="316"/>
        <w:spacing w:after="0" w:line="253" w:lineRule="auto"/>
        <w:rPr>
          <w:sz w:val="20"/>
          <w:szCs w:val="20"/>
          <w:color w:val="auto"/>
        </w:rPr>
      </w:pP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 equipment lease agreements of which the Company guarantees half or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9" w:lineRule="exact"/>
        <w:rPr>
          <w:sz w:val="20"/>
          <w:szCs w:val="20"/>
          <w:color w:val="auto"/>
        </w:rPr>
      </w:pPr>
    </w:p>
    <w:p>
      <w:pPr>
        <w:ind w:right="100" w:firstLine="316"/>
        <w:spacing w:after="0" w:line="264"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March 31, 2023.</w:t>
      </w: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Lease Amounts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280" w:type="dxa"/>
            <w:vAlign w:val="bottom"/>
          </w:tcPr>
          <w:p>
            <w:pPr>
              <w:spacing w:after="0"/>
              <w:rPr>
                <w:sz w:val="11"/>
                <w:szCs w:val="11"/>
                <w:color w:val="auto"/>
              </w:rPr>
            </w:pPr>
          </w:p>
        </w:tc>
        <w:tc>
          <w:tcPr>
            <w:tcW w:w="14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(U.S. dollar, in millions)</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980" w:type="dxa"/>
            <w:vAlign w:val="bottom"/>
          </w:tcPr>
          <w:p>
            <w:pPr>
              <w:jc w:val="center"/>
              <w:ind w:left="367"/>
              <w:spacing w:after="0"/>
              <w:rPr>
                <w:sz w:val="20"/>
                <w:szCs w:val="20"/>
                <w:color w:val="auto"/>
              </w:rPr>
            </w:pPr>
            <w:r>
              <w:rPr>
                <w:rFonts w:ascii="Times New Roman" w:cs="Times New Roman" w:eastAsia="Times New Roman" w:hAnsi="Times New Roman"/>
                <w:sz w:val="14"/>
                <w:szCs w:val="14"/>
                <w:i w:val="1"/>
                <w:iCs w:val="1"/>
                <w:color w:val="auto"/>
                <w:w w:val="98"/>
              </w:rPr>
              <w:t>billions)</w:t>
            </w:r>
          </w:p>
        </w:tc>
        <w:tc>
          <w:tcPr>
            <w:tcW w:w="4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98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250</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40" w:firstLine="316"/>
        <w:spacing w:after="0" w:line="257"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March 31, 2023 in U.S. dollars, based upon the Japanese yen to U.S. dollar exchange rate as of March 31, 2023:</w:t>
      </w:r>
    </w:p>
    <w:tbl>
      <w:tblPr>
        <w:tblLayout w:type="fixed"/>
        <w:tblInd w:w="0" w:type="dxa"/>
        <w:tblCellMar>
          <w:top w:w="0" w:type="dxa"/>
          <w:left w:w="0" w:type="dxa"/>
          <w:bottom w:w="0" w:type="dxa"/>
          <w:right w:w="0" w:type="dxa"/>
        </w:tblCellMar>
      </w:tblPr>
      <w:tr>
        <w:trPr>
          <w:trHeight w:val="147"/>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54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Exercise Price at Final</w:t>
            </w:r>
          </w:p>
        </w:tc>
        <w:tc>
          <w:tcPr>
            <w:tcW w:w="120" w:type="dxa"/>
            <w:vAlign w:val="bottom"/>
          </w:tcPr>
          <w:p>
            <w:pPr>
              <w:spacing w:after="0"/>
              <w:rPr>
                <w:sz w:val="12"/>
                <w:szCs w:val="12"/>
                <w:color w:val="auto"/>
              </w:rPr>
            </w:pPr>
          </w:p>
        </w:tc>
        <w:tc>
          <w:tcPr>
            <w:tcW w:w="132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9"/>
              </w:rPr>
              <w:t>Guarantee Amount</w:t>
            </w:r>
          </w:p>
        </w:tc>
        <w:tc>
          <w:tcPr>
            <w:tcW w:w="0" w:type="dxa"/>
            <w:vAlign w:val="bottom"/>
          </w:tcPr>
          <w:p>
            <w:pPr>
              <w:spacing w:after="0"/>
              <w:rPr>
                <w:sz w:val="1"/>
                <w:szCs w:val="1"/>
                <w:color w:val="auto"/>
              </w:rPr>
            </w:pPr>
          </w:p>
        </w:tc>
      </w:tr>
      <w:tr>
        <w:trPr>
          <w:trHeight w:val="192"/>
        </w:trPr>
        <w:tc>
          <w:tcPr>
            <w:tcW w:w="6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Lease Terms</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three months of 2023</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2028 and thereafter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-1113155</wp:posOffset>
            </wp:positionV>
            <wp:extent cx="673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-1113155</wp:posOffset>
            </wp:positionV>
            <wp:extent cx="673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right="220" w:firstLine="316"/>
        <w:spacing w:after="0" w:line="253"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March 31, 2023, no amounts have been accrued in the Condensed Consolidated Financial Statements with respect to these indemnification agreements.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Unis Venture</w:t>
      </w:r>
    </w:p>
    <w:p>
      <w:pPr>
        <w:spacing w:after="0" w:line="243" w:lineRule="exact"/>
        <w:rPr>
          <w:sz w:val="20"/>
          <w:szCs w:val="20"/>
          <w:color w:val="auto"/>
        </w:rPr>
      </w:pPr>
    </w:p>
    <w:p>
      <w:pPr>
        <w:ind w:right="40" w:firstLine="316"/>
        <w:spacing w:after="0" w:line="284" w:lineRule="auto"/>
        <w:rPr>
          <w:sz w:val="20"/>
          <w:szCs w:val="20"/>
          <w:color w:val="auto"/>
        </w:rPr>
      </w:pPr>
      <w:r>
        <w:rPr>
          <w:rFonts w:ascii="Times New Roman" w:cs="Times New Roman" w:eastAsia="Times New Roman" w:hAnsi="Times New Roman"/>
          <w:sz w:val="16"/>
          <w:szCs w:val="16"/>
          <w:color w:val="auto"/>
        </w:rPr>
        <w:t>The Company has a joint venture with Unisplendour Corporation Limited and Unissoft (Wuxi) Group Co. Ltd. (“Unis”), referred to as the “Unis Venture”, to market and sell the Company’s products in China and to develop data storage systems for the Chinese market in the future. The Unis Venture is 49% owned by the Company and 51% owned by Unis. The Company accounts for its investment in the Unis Venture under the equity method of accounting. Revenue on products distributed by the Unis Venture is recognized upon sell through to third-party customers. For both the three and nine months ended March 31, 2023, the Company recognized approximately 3% of its consolidated revenue on products distributed by the Unis Venture. For both the three and nine months ended April 1, 2022, the Company recognized approximately 5% of its consolidated revenue on products distributed by the Unis Venture. The outstanding accounts receivable due from the Unis Venture were 7% and 5% of Accounts receivable, net as of March 31, 2023 and July 1, 2022, respectively.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40" w:right="272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Leases and Other Commitments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3" w:lineRule="exact"/>
        <w:rPr>
          <w:sz w:val="20"/>
          <w:szCs w:val="20"/>
          <w:color w:val="auto"/>
        </w:rPr>
      </w:pPr>
    </w:p>
    <w:p>
      <w:pPr>
        <w:ind w:right="80" w:firstLine="316"/>
        <w:spacing w:after="0" w:line="282" w:lineRule="auto"/>
        <w:rPr>
          <w:sz w:val="20"/>
          <w:szCs w:val="20"/>
          <w:color w:val="auto"/>
        </w:rPr>
      </w:pPr>
      <w:r>
        <w:rPr>
          <w:rFonts w:ascii="Times New Roman" w:cs="Times New Roman" w:eastAsia="Times New Roman" w:hAnsi="Times New Roman"/>
          <w:sz w:val="16"/>
          <w:szCs w:val="16"/>
          <w:color w:val="auto"/>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 The following table summarizes supplemental balance sheet information related to operating leases as of March 31,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spacing w:after="0"/>
              <w:rPr>
                <w:sz w:val="16"/>
                <w:szCs w:val="16"/>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Lease Amounts</w:t>
            </w:r>
          </w:p>
        </w:tc>
      </w:tr>
      <w:tr>
        <w:trPr>
          <w:trHeight w:val="24"/>
        </w:trPr>
        <w:tc>
          <w:tcPr>
            <w:tcW w:w="9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96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40" w:type="dxa"/>
            <w:vAlign w:val="bottom"/>
          </w:tcPr>
          <w:p>
            <w:pPr>
              <w:jc w:val="right"/>
              <w:ind w:right="301"/>
              <w:spacing w:after="0"/>
              <w:rPr>
                <w:sz w:val="20"/>
                <w:szCs w:val="20"/>
                <w:color w:val="auto"/>
              </w:rPr>
            </w:pPr>
            <w:r>
              <w:rPr>
                <w:rFonts w:ascii="Times New Roman" w:cs="Times New Roman" w:eastAsia="Times New Roman" w:hAnsi="Times New Roman"/>
                <w:sz w:val="14"/>
                <w:szCs w:val="14"/>
                <w:i w:val="1"/>
                <w:iCs w:val="1"/>
                <w:color w:val="auto"/>
                <w:w w:val="99"/>
              </w:rPr>
              <w:t>in millions)</w:t>
            </w:r>
          </w:p>
        </w:tc>
      </w:tr>
      <w:tr>
        <w:trPr>
          <w:trHeight w:val="21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Minimum lease payments by year:</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three months of 2023</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w:t>
            </w:r>
          </w:p>
        </w:tc>
      </w:tr>
      <w:tr>
        <w:trPr>
          <w:trHeight w:val="209"/>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5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w:t>
            </w:r>
          </w:p>
        </w:tc>
      </w:tr>
      <w:tr>
        <w:trPr>
          <w:trHeight w:val="202"/>
        </w:trPr>
        <w:tc>
          <w:tcPr>
            <w:tcW w:w="9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344</w:t>
            </w:r>
          </w:p>
        </w:tc>
      </w:tr>
      <w:tr>
        <w:trPr>
          <w:trHeight w:val="213"/>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r>
      <w:tr>
        <w:trPr>
          <w:trHeight w:val="202"/>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52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292</w:t>
            </w:r>
          </w:p>
        </w:tc>
      </w:tr>
      <w:tr>
        <w:trPr>
          <w:trHeight w:val="211"/>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portion (included in Accrued expenses)</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r>
      <w:tr>
        <w:trPr>
          <w:trHeight w:val="206"/>
        </w:trPr>
        <w:tc>
          <w:tcPr>
            <w:tcW w:w="9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Long-term operating lease liabilities (included in Other liabilities )</w:t>
            </w: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9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(included in Other non-current assets)</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268</w:t>
            </w:r>
          </w:p>
        </w:tc>
      </w:tr>
      <w:tr>
        <w:trPr>
          <w:trHeight w:val="253"/>
        </w:trPr>
        <w:tc>
          <w:tcPr>
            <w:tcW w:w="96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80" w:type="dxa"/>
            <w:vAlign w:val="bottom"/>
            <w:gridSpan w:val="3"/>
          </w:tcPr>
          <w:p>
            <w:pPr>
              <w:jc w:val="right"/>
              <w:ind w:right="38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3"/>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5"/>
        </w:trPr>
        <w:tc>
          <w:tcPr>
            <w:tcW w:w="5180" w:type="dxa"/>
            <w:vAlign w:val="bottom"/>
          </w:tcPr>
          <w:p>
            <w:pPr>
              <w:spacing w:after="0"/>
              <w:rPr>
                <w:sz w:val="10"/>
                <w:szCs w:val="10"/>
                <w:color w:val="auto"/>
              </w:rPr>
            </w:pPr>
          </w:p>
        </w:tc>
        <w:tc>
          <w:tcPr>
            <w:tcW w:w="1120" w:type="dxa"/>
            <w:vAlign w:val="bottom"/>
          </w:tcPr>
          <w:p>
            <w:pPr>
              <w:jc w:val="center"/>
              <w:ind w:left="2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340" w:type="dxa"/>
            <w:vAlign w:val="bottom"/>
          </w:tcPr>
          <w:p>
            <w:pPr>
              <w:spacing w:after="0"/>
              <w:rPr>
                <w:sz w:val="10"/>
                <w:szCs w:val="10"/>
                <w:color w:val="auto"/>
              </w:rPr>
            </w:pPr>
          </w:p>
        </w:tc>
        <w:tc>
          <w:tcPr>
            <w:tcW w:w="1120" w:type="dxa"/>
            <w:vAlign w:val="bottom"/>
          </w:tcPr>
          <w:p>
            <w:pPr>
              <w:jc w:val="center"/>
              <w:ind w:left="387"/>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365"/>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0"/>
                <w:szCs w:val="10"/>
                <w:color w:val="auto"/>
              </w:rPr>
            </w:pPr>
          </w:p>
        </w:tc>
        <w:tc>
          <w:tcPr>
            <w:tcW w:w="1140" w:type="dxa"/>
            <w:vAlign w:val="bottom"/>
          </w:tcPr>
          <w:p>
            <w:pPr>
              <w:jc w:val="right"/>
              <w:ind w:right="404"/>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5180" w:type="dxa"/>
            <w:vAlign w:val="bottom"/>
          </w:tcPr>
          <w:p>
            <w:pPr>
              <w:spacing w:after="0"/>
              <w:rPr>
                <w:sz w:val="16"/>
                <w:szCs w:val="16"/>
                <w:color w:val="auto"/>
              </w:rPr>
            </w:pPr>
          </w:p>
        </w:tc>
        <w:tc>
          <w:tcPr>
            <w:tcW w:w="11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5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operating leases</w:t>
            </w:r>
          </w:p>
        </w:tc>
        <w:tc>
          <w:tcPr>
            <w:tcW w:w="1120" w:type="dxa"/>
            <w:vAlign w:val="bottom"/>
            <w:shd w:val="clear" w:color="auto" w:fill="CCEEFF"/>
          </w:tcPr>
          <w:p>
            <w:pPr>
              <w:jc w:val="right"/>
              <w:ind w:right="94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w:t>
            </w:r>
          </w:p>
        </w:tc>
        <w:tc>
          <w:tcPr>
            <w:tcW w:w="1120" w:type="dxa"/>
            <w:vAlign w:val="bottom"/>
            <w:shd w:val="clear" w:color="auto" w:fill="CCEEFF"/>
          </w:tcPr>
          <w:p>
            <w:pPr>
              <w:jc w:val="right"/>
              <w:ind w:right="867"/>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43</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20" w:type="dxa"/>
            <w:vAlign w:val="bottom"/>
          </w:tcPr>
          <w:p>
            <w:pPr>
              <w:spacing w:after="0"/>
              <w:rPr>
                <w:sz w:val="18"/>
                <w:szCs w:val="18"/>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-535305</wp:posOffset>
            </wp:positionV>
            <wp:extent cx="67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-535305</wp:posOffset>
            </wp:positionV>
            <wp:extent cx="67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-535305</wp:posOffset>
            </wp:positionV>
            <wp:extent cx="67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Purchase Agreements and Other Commitments</w:t>
      </w:r>
    </w:p>
    <w:p>
      <w:pPr>
        <w:spacing w:after="0" w:line="243"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March 31, 2023, the Company had the following minimum long-term commitments:</w:t>
      </w:r>
    </w:p>
    <w:tbl>
      <w:tblPr>
        <w:tblLayout w:type="fixed"/>
        <w:tblInd w:w="0" w:type="dxa"/>
        <w:tblCellMar>
          <w:top w:w="0" w:type="dxa"/>
          <w:left w:w="0" w:type="dxa"/>
          <w:bottom w:w="0" w:type="dxa"/>
          <w:right w:w="0" w:type="dxa"/>
        </w:tblCellMar>
      </w:tblPr>
      <w:tr>
        <w:trPr>
          <w:trHeight w:val="156"/>
        </w:trPr>
        <w:tc>
          <w:tcPr>
            <w:tcW w:w="9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Long-Term</w:t>
            </w:r>
          </w:p>
        </w:tc>
      </w:tr>
      <w:tr>
        <w:trPr>
          <w:trHeight w:val="191"/>
        </w:trPr>
        <w:tc>
          <w:tcPr>
            <w:tcW w:w="9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0"/>
        </w:trPr>
        <w:tc>
          <w:tcPr>
            <w:tcW w:w="9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9"/>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Remaining three months of 2023</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9"/>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9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1"/>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6"/>
        </w:trPr>
        <w:tc>
          <w:tcPr>
            <w:tcW w:w="9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0"/>
        </w:trPr>
        <w:tc>
          <w:tcPr>
            <w:tcW w:w="9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6"/>
          <w:szCs w:val="16"/>
          <w:b w:val="1"/>
          <w:bCs w:val="1"/>
          <w:color w:val="auto"/>
        </w:rPr>
        <w:t>Shareholders’ Equity and Convertible Preferred Stock</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3" w:lineRule="exact"/>
        <w:rPr>
          <w:sz w:val="20"/>
          <w:szCs w:val="20"/>
          <w:color w:val="auto"/>
        </w:rPr>
      </w:pPr>
    </w:p>
    <w:p>
      <w:pPr>
        <w:ind w:firstLine="316"/>
        <w:spacing w:after="0" w:line="253"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(i.e. restricted stock units (“RSUs”), restricted stock unit awards with performance conditions or market conditions (“PSUs”), and rights to purchase shares of common stock under the Company’s Employee Stock Purchase Plan (“ESPP”)) and financial statement line as well as the related tax benefit included in the Company’s Condensed Consolidated Statements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8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1080" w:type="dxa"/>
            <w:vAlign w:val="bottom"/>
          </w:tcPr>
          <w:p>
            <w:pPr>
              <w:jc w:val="center"/>
              <w:ind w:left="286"/>
              <w:spacing w:after="0" w:line="127"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05"/>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60"/>
              <w:spacing w:after="0" w:line="127"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80" w:type="dxa"/>
            <w:vAlign w:val="bottom"/>
          </w:tcPr>
          <w:p>
            <w:pPr>
              <w:spacing w:after="0"/>
              <w:rPr>
                <w:sz w:val="11"/>
                <w:szCs w:val="11"/>
                <w:color w:val="auto"/>
              </w:rPr>
            </w:pPr>
          </w:p>
        </w:tc>
        <w:tc>
          <w:tcPr>
            <w:tcW w:w="1140" w:type="dxa"/>
            <w:vAlign w:val="bottom"/>
          </w:tcPr>
          <w:p>
            <w:pPr>
              <w:jc w:val="center"/>
              <w:ind w:right="204"/>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Pr>
          <w:p>
            <w:pPr>
              <w:spacing w:after="0"/>
              <w:rPr>
                <w:sz w:val="16"/>
                <w:szCs w:val="16"/>
                <w:color w:val="auto"/>
              </w:rPr>
            </w:pPr>
          </w:p>
        </w:tc>
        <w:tc>
          <w:tcPr>
            <w:tcW w:w="108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0"/>
        </w:trPr>
        <w:tc>
          <w:tcPr>
            <w:tcW w:w="5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w:t>
            </w:r>
          </w:p>
        </w:tc>
        <w:tc>
          <w:tcPr>
            <w:tcW w:w="108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1"/>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76"/>
        </w:trPr>
        <w:tc>
          <w:tcPr>
            <w:tcW w:w="5180" w:type="dxa"/>
            <w:vAlign w:val="bottom"/>
          </w:tcPr>
          <w:p>
            <w:pPr>
              <w:spacing w:after="0"/>
              <w:rPr>
                <w:sz w:val="24"/>
                <w:szCs w:val="24"/>
                <w:color w:val="auto"/>
              </w:rPr>
            </w:pPr>
          </w:p>
        </w:tc>
        <w:tc>
          <w:tcPr>
            <w:tcW w:w="258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4"/>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5"/>
        </w:trPr>
        <w:tc>
          <w:tcPr>
            <w:tcW w:w="5180" w:type="dxa"/>
            <w:vAlign w:val="bottom"/>
          </w:tcPr>
          <w:p>
            <w:pPr>
              <w:spacing w:after="0"/>
              <w:rPr>
                <w:sz w:val="10"/>
                <w:szCs w:val="10"/>
                <w:color w:val="auto"/>
              </w:rPr>
            </w:pPr>
          </w:p>
        </w:tc>
        <w:tc>
          <w:tcPr>
            <w:tcW w:w="1080" w:type="dxa"/>
            <w:vAlign w:val="bottom"/>
          </w:tcPr>
          <w:p>
            <w:pPr>
              <w:jc w:val="center"/>
              <w:ind w:left="286"/>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305"/>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80" w:type="dxa"/>
            <w:vAlign w:val="bottom"/>
          </w:tcPr>
          <w:p>
            <w:pPr>
              <w:spacing w:after="0"/>
              <w:rPr>
                <w:sz w:val="10"/>
                <w:szCs w:val="10"/>
                <w:color w:val="auto"/>
              </w:rPr>
            </w:pPr>
          </w:p>
        </w:tc>
        <w:tc>
          <w:tcPr>
            <w:tcW w:w="1140" w:type="dxa"/>
            <w:vAlign w:val="bottom"/>
          </w:tcPr>
          <w:p>
            <w:pPr>
              <w:jc w:val="center"/>
              <w:ind w:right="204"/>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5180" w:type="dxa"/>
            <w:vAlign w:val="bottom"/>
          </w:tcPr>
          <w:p>
            <w:pPr>
              <w:spacing w:after="0"/>
              <w:rPr>
                <w:sz w:val="16"/>
                <w:szCs w:val="16"/>
                <w:color w:val="auto"/>
              </w:rPr>
            </w:pPr>
          </w:p>
        </w:tc>
        <w:tc>
          <w:tcPr>
            <w:tcW w:w="108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91"/>
        </w:trPr>
        <w:tc>
          <w:tcPr>
            <w:tcW w:w="5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6"/>
              </w:rPr>
              <w:t>(9)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5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
        </w:trPr>
        <w:tc>
          <w:tcPr>
            <w:tcW w:w="5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-2118360</wp:posOffset>
            </wp:positionV>
            <wp:extent cx="6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-2118360</wp:posOffset>
            </wp:positionV>
            <wp:extent cx="67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-2118360</wp:posOffset>
            </wp:positionV>
            <wp:extent cx="6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6142355</wp:posOffset>
            </wp:positionH>
            <wp:positionV relativeFrom="paragraph">
              <wp:posOffset>-987425</wp:posOffset>
            </wp:positionV>
            <wp:extent cx="67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-987425</wp:posOffset>
            </wp:positionV>
            <wp:extent cx="67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-987425</wp:posOffset>
            </wp:positionV>
            <wp:extent cx="673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right="100" w:firstLine="316"/>
        <w:spacing w:after="0" w:line="269" w:lineRule="auto"/>
        <w:rPr>
          <w:sz w:val="20"/>
          <w:szCs w:val="20"/>
          <w:color w:val="auto"/>
        </w:rPr>
      </w:pPr>
      <w:r>
        <w:rPr>
          <w:rFonts w:ascii="Times New Roman" w:cs="Times New Roman" w:eastAsia="Times New Roman" w:hAnsi="Times New Roman"/>
          <w:sz w:val="18"/>
          <w:szCs w:val="18"/>
          <w:color w:val="auto"/>
        </w:rPr>
        <w:t>Windfall tax benefits and tax deficiencies for shortfalls related to the vesting and exercise of stock-based awards, which are recognized as a component of the Company’s Income tax expense, were not material for the periods presented.</w:t>
      </w:r>
    </w:p>
    <w:p>
      <w:pPr>
        <w:spacing w:after="0" w:line="195" w:lineRule="exact"/>
        <w:rPr>
          <w:sz w:val="20"/>
          <w:szCs w:val="20"/>
          <w:color w:val="auto"/>
        </w:rPr>
      </w:pPr>
    </w:p>
    <w:p>
      <w:pPr>
        <w:ind w:right="260" w:firstLine="316"/>
        <w:spacing w:after="0" w:line="257"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March 31, 2023:</w:t>
      </w:r>
    </w:p>
    <w:tbl>
      <w:tblPr>
        <w:tblLayout w:type="fixed"/>
        <w:tblInd w:w="0" w:type="dxa"/>
        <w:tblCellMar>
          <w:top w:w="0" w:type="dxa"/>
          <w:left w:w="0" w:type="dxa"/>
          <w:bottom w:w="0" w:type="dxa"/>
          <w:right w:w="0" w:type="dxa"/>
        </w:tblCellMar>
      </w:tblPr>
      <w:tr>
        <w:trPr>
          <w:trHeight w:val="147"/>
        </w:trPr>
        <w:tc>
          <w:tcPr>
            <w:tcW w:w="14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Unamortized</w:t>
            </w:r>
          </w:p>
        </w:tc>
        <w:tc>
          <w:tcPr>
            <w:tcW w:w="8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5"/>
        </w:trPr>
        <w:tc>
          <w:tcPr>
            <w:tcW w:w="14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14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millions)</w:t>
            </w: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(years)</w:t>
            </w:r>
          </w:p>
        </w:tc>
        <w:tc>
          <w:tcPr>
            <w:tcW w:w="0" w:type="dxa"/>
            <w:vAlign w:val="bottom"/>
          </w:tcPr>
          <w:p>
            <w:pPr>
              <w:spacing w:after="0"/>
              <w:rPr>
                <w:sz w:val="1"/>
                <w:szCs w:val="1"/>
                <w:color w:val="auto"/>
              </w:rPr>
            </w:pPr>
          </w:p>
        </w:tc>
      </w:tr>
      <w:tr>
        <w:trPr>
          <w:trHeight w:val="225"/>
        </w:trPr>
        <w:tc>
          <w:tcPr>
            <w:tcW w:w="434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RSUs and PSUs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24"/>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unamortized compensation cost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48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hanging="254"/>
        <w:spacing w:after="0"/>
        <w:tabs>
          <w:tab w:leader="none" w:pos="2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Weighted average service period assumes the performance metrics are met for the PSUs.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60" w:right="27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Activities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summarizes stock option activity under the Company’s incentive plans. All outstanding options were exercisable at March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3"/>
        </w:trPr>
        <w:tc>
          <w:tcPr>
            <w:tcW w:w="67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 Price Per</w:t>
            </w:r>
          </w:p>
        </w:tc>
        <w:tc>
          <w:tcPr>
            <w:tcW w:w="14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(in years)</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July 1, 2022</w:t>
            </w:r>
          </w:p>
        </w:tc>
        <w:tc>
          <w:tcPr>
            <w:tcW w:w="1420" w:type="dxa"/>
            <w:vAlign w:val="bottom"/>
            <w:shd w:val="clear" w:color="auto" w:fill="CCEEFF"/>
          </w:tcPr>
          <w:p>
            <w:pPr>
              <w:jc w:val="center"/>
              <w:ind w:left="1024"/>
              <w:spacing w:after="0"/>
              <w:rPr>
                <w:sz w:val="20"/>
                <w:szCs w:val="20"/>
                <w:color w:val="auto"/>
              </w:rPr>
            </w:pPr>
            <w:r>
              <w:rPr>
                <w:rFonts w:ascii="Times New Roman" w:cs="Times New Roman" w:eastAsia="Times New Roman" w:hAnsi="Times New Roman"/>
                <w:sz w:val="16"/>
                <w:szCs w:val="16"/>
                <w:color w:val="auto"/>
                <w:w w:val="99"/>
              </w:rPr>
              <w:t>0.9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66.76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0.54</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Canceled or expired</w:t>
            </w:r>
          </w:p>
        </w:tc>
        <w:tc>
          <w:tcPr>
            <w:tcW w:w="1420" w:type="dxa"/>
            <w:vAlign w:val="bottom"/>
            <w:tcBorders>
              <w:bottom w:val="single" w:sz="8" w:color="auto"/>
            </w:tcBorders>
          </w:tcPr>
          <w:p>
            <w:pPr>
              <w:jc w:val="center"/>
              <w:ind w:left="1004"/>
              <w:spacing w:after="0"/>
              <w:rPr>
                <w:sz w:val="20"/>
                <w:szCs w:val="20"/>
                <w:color w:val="auto"/>
              </w:rPr>
            </w:pPr>
            <w:r>
              <w:rPr>
                <w:rFonts w:ascii="Times New Roman" w:cs="Times New Roman" w:eastAsia="Times New Roman" w:hAnsi="Times New Roman"/>
                <w:sz w:val="16"/>
                <w:szCs w:val="16"/>
                <w:color w:val="auto"/>
                <w:w w:val="97"/>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5"/>
              <w:spacing w:after="0"/>
              <w:rPr>
                <w:sz w:val="20"/>
                <w:szCs w:val="20"/>
                <w:color w:val="auto"/>
              </w:rPr>
            </w:pPr>
            <w:r>
              <w:rPr>
                <w:rFonts w:ascii="Times New Roman" w:cs="Times New Roman" w:eastAsia="Times New Roman" w:hAnsi="Times New Roman"/>
                <w:sz w:val="16"/>
                <w:szCs w:val="16"/>
                <w:color w:val="auto"/>
              </w:rPr>
              <w:t>83.10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March 31, 2023</w:t>
            </w:r>
          </w:p>
        </w:tc>
        <w:tc>
          <w:tcPr>
            <w:tcW w:w="1420" w:type="dxa"/>
            <w:vAlign w:val="bottom"/>
            <w:tcBorders>
              <w:bottom w:val="single" w:sz="8" w:color="auto"/>
            </w:tcBorders>
            <w:shd w:val="clear" w:color="auto" w:fill="CCEEFF"/>
          </w:tcPr>
          <w:p>
            <w:pPr>
              <w:jc w:val="center"/>
              <w:ind w:left="1024"/>
              <w:spacing w:after="0"/>
              <w:rPr>
                <w:sz w:val="20"/>
                <w:szCs w:val="20"/>
                <w:color w:val="auto"/>
              </w:rPr>
            </w:pPr>
            <w:r>
              <w:rPr>
                <w:rFonts w:ascii="Times New Roman" w:cs="Times New Roman" w:eastAsia="Times New Roman" w:hAnsi="Times New Roman"/>
                <w:sz w:val="16"/>
                <w:szCs w:val="16"/>
                <w:color w:val="auto"/>
                <w:w w:val="99"/>
              </w:rPr>
              <w:t>0.4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0.33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RSUs and PSUs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6"/>
                <w:szCs w:val="16"/>
                <w:color w:val="auto"/>
              </w:rPr>
            </w:pPr>
          </w:p>
        </w:tc>
        <w:tc>
          <w:tcPr>
            <w:tcW w:w="13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Value at Vest Date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2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July 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55.61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and PSUs outstanding at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43" w:lineRule="exact"/>
        <w:rPr>
          <w:sz w:val="20"/>
          <w:szCs w:val="20"/>
          <w:color w:val="auto"/>
        </w:rPr>
      </w:pPr>
    </w:p>
    <w:p>
      <w:pPr>
        <w:ind w:right="280" w:firstLine="316"/>
        <w:spacing w:after="0" w:line="304" w:lineRule="auto"/>
        <w:rPr>
          <w:sz w:val="20"/>
          <w:szCs w:val="20"/>
          <w:color w:val="auto"/>
        </w:rPr>
      </w:pPr>
      <w:r>
        <w:rPr>
          <w:rFonts w:ascii="Times New Roman" w:cs="Times New Roman" w:eastAsia="Times New Roman" w:hAnsi="Times New Roman"/>
          <w:sz w:val="16"/>
          <w:szCs w:val="16"/>
          <w:color w:val="auto"/>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w:t>
      </w:r>
    </w:p>
    <w:p>
      <w:pPr>
        <w:spacing w:after="0" w:line="1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Dividend provisions</w:t>
      </w:r>
    </w:p>
    <w:p>
      <w:pPr>
        <w:spacing w:after="0" w:line="243"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Preferred Shares will have a stated value of $1,000 per share and accrue a cumulative preferred dividend at an annual rate of 6.25% per annum (increasing to 7.25% per annum on January 31, 2030 and to 8.25% per annum on January 31, 2033) compounded on a quarterly basis. The Preferred Shares will also participate in any dividends declared for common shareholders on an as-converted equivalent basis. As of March 31, 2023, (i) no dividends have been declared or paid since the issuance of the Preferred Shares, and (ii) unpaid and cumulative dividends payable with respect to the Preferred Shares were $9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43" w:lineRule="exact"/>
        <w:rPr>
          <w:sz w:val="20"/>
          <w:szCs w:val="20"/>
          <w:color w:val="auto"/>
        </w:rPr>
      </w:pPr>
    </w:p>
    <w:p>
      <w:pPr>
        <w:ind w:right="20" w:firstLine="158"/>
        <w:spacing w:after="0" w:line="281" w:lineRule="auto"/>
        <w:rPr>
          <w:sz w:val="20"/>
          <w:szCs w:val="20"/>
          <w:color w:val="auto"/>
        </w:rPr>
      </w:pPr>
      <w:r>
        <w:rPr>
          <w:rFonts w:ascii="Times New Roman" w:cs="Times New Roman" w:eastAsia="Times New Roman" w:hAnsi="Times New Roman"/>
          <w:sz w:val="16"/>
          <w:szCs w:val="16"/>
          <w:color w:val="auto"/>
        </w:rPr>
        <w:t>The Preferred Shares will be convertible into shares of the Company’s common stock at an initial conversion rate of $47.75 per share (the “Conversion Price”) (subject to anti-dilution adjustments and certain other one-time adjustments upon the occurrence of various specified spin-off transactions) applied to the aggregate sum of the stated value of the Preferred Shares plus any cumulative accrued but unpaid dividends (the “Accumulated Stated Value”). In the event of a standalone spin-off transaction, the holders of Preferred Shares may have one third of their Preferred Shares converted to a similar class of preferred shares of the spin-off entity. The Preferred Shares will be convertible at the option of the holder upon the earlier of on January 31, 2024, and the date a specified spin-off transaction is completed, unless the Company enters into a definitive agreement with respect to a sale, merger or combination of the spun-off entity, in which case the twelve (12) month period will be extended until the earlier of the consummation of such transaction or the termination of the definitive agreement. The Preferred Shares will be convertible at the option of the Company after January 31, 2026 if the closing price per share of the Company’s common stock exceeds 150% of the Conversion Price for at least 20 out of 30 consecutive trading days immediately prior to the Company’s conversion notice. As of March 31, 2023, the Preferred Shares outstanding would have been convertible, if otherwise permitted, into 19 million shares of common stock.</w:t>
      </w:r>
    </w:p>
    <w:p>
      <w:pPr>
        <w:spacing w:after="0" w:line="1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43" w:lineRule="exact"/>
        <w:rPr>
          <w:sz w:val="20"/>
          <w:szCs w:val="20"/>
          <w:color w:val="auto"/>
        </w:rPr>
      </w:pPr>
    </w:p>
    <w:p>
      <w:pPr>
        <w:ind w:right="20" w:firstLine="316"/>
        <w:spacing w:after="0" w:line="257" w:lineRule="auto"/>
        <w:rPr>
          <w:sz w:val="20"/>
          <w:szCs w:val="20"/>
          <w:color w:val="auto"/>
        </w:rPr>
      </w:pPr>
      <w:r>
        <w:rPr>
          <w:rFonts w:ascii="Times New Roman" w:cs="Times New Roman" w:eastAsia="Times New Roman" w:hAnsi="Times New Roman"/>
          <w:sz w:val="18"/>
          <w:szCs w:val="18"/>
          <w:color w:val="auto"/>
        </w:rPr>
        <w:t>After January 31, 2030, the Company will have the right, but not the obligation, to redeem the Preferred Shares for an amount in cash equal to 110% of the Accumulated Stated Value. Redemption is contingently mandatory in the event of a fundamental change in the business as defined in the designation of the Preferred Shares.</w:t>
      </w:r>
    </w:p>
    <w:p>
      <w:pPr>
        <w:spacing w:after="0" w:line="206" w:lineRule="exact"/>
        <w:rPr>
          <w:sz w:val="20"/>
          <w:szCs w:val="20"/>
          <w:color w:val="auto"/>
        </w:rPr>
      </w:pPr>
    </w:p>
    <w:p>
      <w:pPr>
        <w:ind w:right="160" w:firstLine="316"/>
        <w:spacing w:after="0" w:line="250" w:lineRule="auto"/>
        <w:rPr>
          <w:sz w:val="20"/>
          <w:szCs w:val="20"/>
          <w:color w:val="auto"/>
        </w:rPr>
      </w:pPr>
      <w:r>
        <w:rPr>
          <w:rFonts w:ascii="Times New Roman" w:cs="Times New Roman" w:eastAsia="Times New Roman" w:hAnsi="Times New Roman"/>
          <w:sz w:val="18"/>
          <w:szCs w:val="18"/>
          <w:color w:val="auto"/>
        </w:rPr>
        <w:t>The Preferred Shares has been classified as mezzanine equity in the Company’s Condensed Consolidated Balance Sheets because, in the event of certain fundamental change in the business that are not solely within the control of the Company, the Preferred Shares would become redeemable at the option of the holders. The Company did not adjust the carrying values of the Preferred Shares to the current redemption value of such shares since a liquidation event was not probable at any of the balance sheet dates. Subsequent adjustments to increase or decrease the carrying values to the ultimate redemption value will be made only if and when it becomes probable that such a fundamental change in the business will occur.</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Voting right</w:t>
      </w:r>
    </w:p>
    <w:p>
      <w:pPr>
        <w:spacing w:after="0" w:line="243" w:lineRule="exact"/>
        <w:rPr>
          <w:sz w:val="20"/>
          <w:szCs w:val="20"/>
          <w:color w:val="auto"/>
        </w:rPr>
      </w:pPr>
    </w:p>
    <w:p>
      <w:pPr>
        <w:ind w:right="560" w:firstLine="316"/>
        <w:spacing w:after="0" w:line="269" w:lineRule="auto"/>
        <w:rPr>
          <w:sz w:val="20"/>
          <w:szCs w:val="20"/>
          <w:color w:val="auto"/>
        </w:rPr>
      </w:pPr>
      <w:r>
        <w:rPr>
          <w:rFonts w:ascii="Times New Roman" w:cs="Times New Roman" w:eastAsia="Times New Roman" w:hAnsi="Times New Roman"/>
          <w:sz w:val="18"/>
          <w:szCs w:val="18"/>
          <w:color w:val="auto"/>
        </w:rPr>
        <w:t>The Preferred Shares will vote, to the extent permitted under the Nasdaq listing rules, on an as-converted equivalent basis along with holders of the Company’s common stock.</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43" w:lineRule="exact"/>
        <w:rPr>
          <w:sz w:val="20"/>
          <w:szCs w:val="20"/>
          <w:color w:val="auto"/>
        </w:rPr>
      </w:pPr>
    </w:p>
    <w:p>
      <w:pPr>
        <w:ind w:firstLine="316"/>
        <w:spacing w:after="0" w:line="286" w:lineRule="auto"/>
        <w:rPr>
          <w:sz w:val="20"/>
          <w:szCs w:val="20"/>
          <w:color w:val="auto"/>
        </w:rPr>
      </w:pPr>
      <w:r>
        <w:rPr>
          <w:rFonts w:ascii="Times New Roman" w:cs="Times New Roman" w:eastAsia="Times New Roman" w:hAnsi="Times New Roman"/>
          <w:sz w:val="16"/>
          <w:szCs w:val="16"/>
          <w:color w:val="auto"/>
        </w:rPr>
        <w:t>In the event of any voluntary or involuntary liquidation, holders of the Preferred Shares will be senior to the holders of the Company’s common stock and the liquidation preference is the greater of (i) the sum of amount in cash equal to 110% of the Accumulated Stated Value plus accrued and unpaid dividends and</w:t>
      </w:r>
    </w:p>
    <w:p>
      <w:pPr>
        <w:spacing w:after="0" w:line="1" w:lineRule="exact"/>
        <w:rPr>
          <w:sz w:val="20"/>
          <w:szCs w:val="20"/>
          <w:color w:val="auto"/>
        </w:rPr>
      </w:pPr>
    </w:p>
    <w:p>
      <w:pPr>
        <w:ind w:firstLine="6"/>
        <w:spacing w:after="0" w:line="247"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that the holders of Preferred Shares would have received had all Preferred Shares been converted into common stock immediately prior to such liquidation, before any distributions are made to common shareholders and all other classes of junior capital stock of the Company. As of March 31, 2023, the total aggregate liquidation preference was $909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43" w:lineRule="exact"/>
        <w:rPr>
          <w:sz w:val="20"/>
          <w:szCs w:val="20"/>
          <w:color w:val="auto"/>
        </w:rPr>
      </w:pPr>
    </w:p>
    <w:p>
      <w:pPr>
        <w:ind w:right="40" w:firstLine="316"/>
        <w:spacing w:after="0" w:line="286" w:lineRule="auto"/>
        <w:rPr>
          <w:sz w:val="20"/>
          <w:szCs w:val="20"/>
          <w:color w:val="auto"/>
        </w:rPr>
      </w:pPr>
      <w:r>
        <w:rPr>
          <w:rFonts w:ascii="Times New Roman" w:cs="Times New Roman" w:eastAsia="Times New Roman" w:hAnsi="Times New Roman"/>
          <w:sz w:val="16"/>
          <w:szCs w:val="16"/>
          <w:color w:val="auto"/>
        </w:rPr>
        <w:t>The Company’s Board of Directors has authorized a stock repurchase program for the repurchase of up to $5.0 billion of the Company’s common stock, which authorization is effective through July 25, 2023. The Company did not make any stock repurchases during the nine months ended March 31, 2023 and has not repurchased any shares of its common stock pursuant to its stock repurchase program since the first quarter of fiscal 2019. Although the Company will reevaluate the repurchasing of common stock when appropriate, there can be no assurance if, when or at what level the Company may resume such activity. The remaining amount available to be repurchased under the Company’s current stock repurchase program as of March 31, 2023 was $4.5 billion. Repurchases under the stock repurchase program may be made in the open market or in privately negotiated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6"/>
          <w:szCs w:val="16"/>
          <w:b w:val="1"/>
          <w:bCs w:val="1"/>
          <w:color w:val="auto"/>
        </w:rPr>
        <w:t>Income Tax Expense</w:t>
      </w:r>
    </w:p>
    <w:p>
      <w:pPr>
        <w:spacing w:after="0" w:line="243"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The Tax Cuts and Jobs Act (the “2017 Act”), enacted on December 22, 2017, includes a broad range of tax reform proposals affecting businesses. The Company completed its accounting for the tax effects of the enactment of the 2017 Act during the second quarter of fiscal 2019. However, the U.S. Treasury and the Internal Revenue Service (“IRS”) have issued tax guidance on certain provisions of the 2017 Act since the enactment date, and the Company anticipates the issuance of additional regulatory and interpretive guidance. The Company applied a reasonable interpretation of the 2017 Act along with the then-available guidance in finalizing its accounting for the tax effects of the 2017 Act. Any additional regulatory or interpretive guidance would constitute new information, which may require further refinements to the Company’s estimates in future periods.</w:t>
      </w:r>
    </w:p>
    <w:p>
      <w:pPr>
        <w:spacing w:after="0" w:line="202" w:lineRule="exact"/>
        <w:rPr>
          <w:sz w:val="20"/>
          <w:szCs w:val="20"/>
          <w:color w:val="auto"/>
        </w:rPr>
      </w:pPr>
    </w:p>
    <w:p>
      <w:pPr>
        <w:ind w:right="60" w:firstLine="316"/>
        <w:spacing w:after="0" w:line="238"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the Company until fiscal year 2024 and the Company is currently evaluating the potential effects of these legislative changes.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gridSpan w:val="2"/>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00" w:type="dxa"/>
            <w:vAlign w:val="bottom"/>
            <w:gridSpan w:val="3"/>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5"/>
        </w:trPr>
        <w:tc>
          <w:tcPr>
            <w:tcW w:w="4920" w:type="dxa"/>
            <w:vAlign w:val="bottom"/>
          </w:tcPr>
          <w:p>
            <w:pPr>
              <w:spacing w:after="0"/>
              <w:rPr>
                <w:sz w:val="10"/>
                <w:szCs w:val="10"/>
                <w:color w:val="auto"/>
              </w:rPr>
            </w:pPr>
          </w:p>
        </w:tc>
        <w:tc>
          <w:tcPr>
            <w:tcW w:w="15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60" w:type="dxa"/>
            <w:vAlign w:val="bottom"/>
          </w:tcPr>
          <w:p>
            <w:pPr>
              <w:jc w:val="center"/>
              <w:ind w:left="447"/>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jc w:val="right"/>
              <w:ind w:right="405"/>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0"/>
                <w:szCs w:val="10"/>
                <w:color w:val="auto"/>
              </w:rPr>
            </w:pPr>
          </w:p>
        </w:tc>
        <w:tc>
          <w:tcPr>
            <w:tcW w:w="1200" w:type="dxa"/>
            <w:vAlign w:val="bottom"/>
          </w:tcPr>
          <w:p>
            <w:pPr>
              <w:jc w:val="right"/>
              <w:ind w:right="444"/>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49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4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88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(529)</w:t>
            </w:r>
          </w:p>
        </w:tc>
        <w:tc>
          <w:tcPr>
            <w:tcW w:w="106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(830)</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1,612</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tcPr>
          <w:p>
            <w:pPr>
              <w:spacing w:after="0"/>
              <w:rPr>
                <w:sz w:val="18"/>
                <w:szCs w:val="18"/>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tcPr>
          <w:p>
            <w:pPr>
              <w:spacing w:after="0"/>
              <w:rPr>
                <w:sz w:val="18"/>
                <w:szCs w:val="18"/>
                <w:color w:val="auto"/>
              </w:rPr>
            </w:pP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161</w:t>
            </w:r>
          </w:p>
        </w:tc>
        <w:tc>
          <w:tcPr>
            <w:tcW w:w="36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413</w:t>
            </w: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-535305</wp:posOffset>
            </wp:positionV>
            <wp:extent cx="673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-535305</wp:posOffset>
            </wp:positionV>
            <wp:extent cx="673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-535305</wp:posOffset>
            </wp:positionV>
            <wp:extent cx="673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65" w:lineRule="exact"/>
        <w:rPr>
          <w:sz w:val="20"/>
          <w:szCs w:val="20"/>
          <w:color w:val="auto"/>
        </w:rPr>
      </w:pPr>
    </w:p>
    <w:p>
      <w:pPr>
        <w:ind w:right="60" w:firstLine="316"/>
        <w:spacing w:after="0" w:line="235" w:lineRule="auto"/>
        <w:rPr>
          <w:sz w:val="20"/>
          <w:szCs w:val="20"/>
          <w:color w:val="auto"/>
        </w:rPr>
      </w:pPr>
      <w:r>
        <w:rPr>
          <w:rFonts w:ascii="Times New Roman" w:cs="Times New Roman" w:eastAsia="Times New Roman" w:hAnsi="Times New Roman"/>
          <w:sz w:val="18"/>
          <w:szCs w:val="18"/>
          <w:color w:val="auto"/>
        </w:rPr>
        <w:t>Beginning in fiscal year 2023, the 2017 Act requires the Company to capitalize and amortize R&amp;D expenses rather than expensing them in the year incurred. The tax effects related to the capitalization of R&amp;D expenses are included in the effective tax rate for the three and nine months ended March 31, 2023 but did not have a material impact on the effective tax rate. The primary drivers of the difference between the effective tax rate for the three and nine months ended March 31, 2023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w:t>
      </w:r>
    </w:p>
    <w:p>
      <w:pPr>
        <w:spacing w:after="0" w:line="222"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April 1, 2022 and the U.S. Federal statutory rate of 21% are the relative mix of earnings and losses by jurisdiction, the deduction for foreign derived intangible income, credits, and tax holidays in Malaysia, the Philippines and Thailand. In addition, the effective tax rate for the three and nine months ended April 1, 2022 includes the discrete effect of an increase to unrecognized tax benefits, which includes interest and offsetting tax benefits, as a result of settlement discussions with various taxing authorities of $194 million and $219 million, respectively.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43" w:lineRule="exact"/>
        <w:rPr>
          <w:sz w:val="20"/>
          <w:szCs w:val="20"/>
          <w:color w:val="auto"/>
        </w:rPr>
      </w:pPr>
    </w:p>
    <w:p>
      <w:pPr>
        <w:ind w:right="340" w:firstLine="316"/>
        <w:spacing w:after="0" w:line="269"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80" w:firstLine="316"/>
        <w:spacing w:after="0" w:line="269"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three months ended March 31, 2023 (in millions):</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July 1, 2022</w:t>
            </w: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16"/>
        </w:trPr>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increases related to current year tax positions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increases related to prior year tax positions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6"/>
        </w:trPr>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decreases related to prior year tax positions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3"/>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7"/>
        </w:trPr>
        <w:tc>
          <w:tcPr>
            <w:tcW w:w="9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2"/>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March 31, 2023</w:t>
            </w: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40" w:firstLine="316"/>
        <w:spacing w:after="0" w:line="253" w:lineRule="auto"/>
        <w:rPr>
          <w:sz w:val="20"/>
          <w:szCs w:val="20"/>
          <w:color w:val="auto"/>
        </w:rPr>
      </w:pPr>
      <w:r>
        <w:rPr>
          <w:rFonts w:ascii="Times New Roman" w:cs="Times New Roman" w:eastAsia="Times New Roman" w:hAnsi="Times New Roman"/>
          <w:sz w:val="18"/>
          <w:szCs w:val="18"/>
          <w:color w:val="auto"/>
        </w:rPr>
        <w:t>As of March 31, 2023, the liability for unrecognized tax benefits (excluding accrued interest and penalties) was $1.02 billion.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March 31, 2023 was $280 million. Of these amounts, approximately $1.16 billion could result in potential cash payments.</w:t>
      </w:r>
    </w:p>
    <w:p>
      <w:pPr>
        <w:spacing w:after="0" w:line="209" w:lineRule="exact"/>
        <w:rPr>
          <w:sz w:val="20"/>
          <w:szCs w:val="20"/>
          <w:color w:val="auto"/>
        </w:rPr>
      </w:pPr>
    </w:p>
    <w:p>
      <w:pPr>
        <w:ind w:right="60" w:firstLine="316"/>
        <w:spacing w:after="0" w:line="247" w:lineRule="auto"/>
        <w:rPr>
          <w:sz w:val="20"/>
          <w:szCs w:val="20"/>
          <w:color w:val="auto"/>
        </w:rPr>
      </w:pPr>
      <w:r>
        <w:rPr>
          <w:rFonts w:ascii="Times New Roman" w:cs="Times New Roman" w:eastAsia="Times New Roman" w:hAnsi="Times New Roman"/>
          <w:sz w:val="18"/>
          <w:szCs w:val="18"/>
          <w:color w:val="auto"/>
        </w:rPr>
        <w:t>As previously disclosed, the IRS issued statutory notices of deficiency and notices of proposed adjustments with respect to transfer pricing with the Company’s foreign subsidiaries and intercompany payable balances for years 2008 through 2015. The Company and the IRS reached an agreement on the federal tax and interest calculations with respect to years 2008 through 2012 for which the Company expects to pay tax and interest totaling approximately $620 million to $650 million within the next twelve months. The Company and the IRS have also reached a tentative settlement for the years 2013 through 2015 for which the Company expects to pay tax and interest totaling approximately $100 million to $110 million. The Company is uncertain as to when a final agreement for years 2013 through 2015 will be reached and the exact timing of when these payments will be made. However, the Company believes it is reasonably likely that these payments may be made within the next twelve months and has classified that portion of these unrecognized tax benefits, including interest, in Income taxes payable on its Condensed Consolidated Balance Sheets as of March 31, 2023. This classification and amount may be subject to change in the next twelve months depending on when the Company is able to reach a final agreement with the IRS. In connection with these settlements, the Company expects to realize reductions to its mandatory deemed repatriation tax obligations and tax savings from interest deductions aggregating to approximately $100 million to $150 million in future years.</w:t>
      </w:r>
    </w:p>
    <w:p>
      <w:pPr>
        <w:spacing w:after="0" w:line="215"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360" w:right="270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6"/>
          <w:szCs w:val="16"/>
          <w:b w:val="1"/>
          <w:bCs w:val="1"/>
          <w:color w:val="auto"/>
        </w:rPr>
        <w:t>Net Income (Loss) Per Common Share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(loss) per common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60" w:type="dxa"/>
            <w:vAlign w:val="bottom"/>
            <w:gridSpan w:val="4"/>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540" w:type="dxa"/>
            <w:vAlign w:val="bottom"/>
            <w:gridSpan w:val="3"/>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ind w:left="480"/>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2"/>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6"/>
          </w:tcPr>
          <w:p>
            <w:pPr>
              <w:ind w:left="50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09"/>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cumulative dividends on Preferred Stock</w:t>
            </w:r>
          </w:p>
        </w:tc>
        <w:tc>
          <w:tcPr>
            <w:tcW w:w="94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180" w:type="dxa"/>
            <w:vAlign w:val="bottom"/>
            <w:tcBorders>
              <w:top w:val="single" w:sz="8" w:color="CCEEFF"/>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940" w:type="dxa"/>
            <w:vAlign w:val="bottom"/>
            <w:tcBorders>
              <w:top w:val="single" w:sz="8" w:color="auto"/>
              <w:bottom w:val="single" w:sz="8" w:color="auto"/>
            </w:tcBorders>
            <w:shd w:val="clear" w:color="auto" w:fill="CCEEFF"/>
          </w:tcPr>
          <w:p>
            <w:pPr>
              <w:jc w:val="right"/>
              <w:ind w:right="765"/>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45"/>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options, RSUs, PSUs, and ESPP</w:t>
            </w: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1"/>
        </w:trPr>
        <w:tc>
          <w:tcPr>
            <w:tcW w:w="5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Income (loss) per common shares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potential common shares excluded</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-1640840</wp:posOffset>
            </wp:positionV>
            <wp:extent cx="67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-1640840</wp:posOffset>
            </wp:positionV>
            <wp:extent cx="67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-1640840</wp:posOffset>
            </wp:positionV>
            <wp:extent cx="67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jc w:val="both"/>
        <w:ind w:right="300" w:firstLine="316"/>
        <w:spacing w:after="0" w:line="234" w:lineRule="auto"/>
        <w:rPr>
          <w:sz w:val="20"/>
          <w:szCs w:val="20"/>
          <w:color w:val="auto"/>
        </w:rPr>
      </w:pPr>
      <w:r>
        <w:rPr>
          <w:rFonts w:ascii="Times New Roman" w:cs="Times New Roman" w:eastAsia="Times New Roman" w:hAnsi="Times New Roman"/>
          <w:sz w:val="18"/>
          <w:szCs w:val="18"/>
          <w:color w:val="auto"/>
        </w:rPr>
        <w:t>The Company computes basic income (loss) per common share by dividing net income attributable to common shareholders and the weighted average number of common shares outstanding during the period. Diluted income (loss) per common share is computed by using diluted net income attributable to common shareholders, the weighted average number of common shares and potentially dilutive securities outstanding during the period using the treasury stock method or the “if-converted” method based on the nature of the securities.</w:t>
      </w:r>
    </w:p>
    <w:p>
      <w:pPr>
        <w:spacing w:after="0" w:line="208" w:lineRule="exact"/>
        <w:rPr>
          <w:sz w:val="20"/>
          <w:szCs w:val="20"/>
          <w:color w:val="auto"/>
        </w:rPr>
      </w:pPr>
    </w:p>
    <w:p>
      <w:pPr>
        <w:ind w:right="120" w:firstLine="316"/>
        <w:spacing w:after="0" w:line="235" w:lineRule="auto"/>
        <w:rPr>
          <w:sz w:val="20"/>
          <w:szCs w:val="20"/>
          <w:color w:val="auto"/>
        </w:rPr>
      </w:pPr>
      <w:r>
        <w:rPr>
          <w:rFonts w:ascii="Times New Roman" w:cs="Times New Roman" w:eastAsia="Times New Roman" w:hAnsi="Times New Roman"/>
          <w:sz w:val="18"/>
          <w:szCs w:val="18"/>
          <w:color w:val="auto"/>
        </w:rPr>
        <w:t>Basic income (loss) per share attributable to common shareholders is computed using (i) net income (loss) less (ii) dividends paid to holders of Preferred Shares less (iii) net income (loss) attributable to participating securities divided by (iv) weighted average basic shares outstanding. Diluted net income or loss per share attributable to common shareholders is computed as (i) basic net income (loss) attributable to common shareholders plus (ii) diluted adjustments to income allocable to participating securities divided by (iii) weighted average diluted shares outstanding. The "if-converted" method is used to determine the dilutive impact for the Company's convertible Preferred Stock and the treasury stock method is used to determine the dilutive impact of unvested restricted stock.</w:t>
      </w:r>
    </w:p>
    <w:p>
      <w:pPr>
        <w:spacing w:after="0" w:line="208" w:lineRule="exact"/>
        <w:rPr>
          <w:sz w:val="20"/>
          <w:szCs w:val="20"/>
          <w:color w:val="auto"/>
        </w:rPr>
      </w:pPr>
    </w:p>
    <w:p>
      <w:pPr>
        <w:ind w:firstLine="316"/>
        <w:spacing w:after="0" w:line="232" w:lineRule="auto"/>
        <w:rPr>
          <w:sz w:val="20"/>
          <w:szCs w:val="20"/>
          <w:color w:val="auto"/>
        </w:rPr>
      </w:pPr>
      <w:r>
        <w:rPr>
          <w:rFonts w:ascii="Times New Roman" w:cs="Times New Roman" w:eastAsia="Times New Roman" w:hAnsi="Times New Roman"/>
          <w:sz w:val="18"/>
          <w:szCs w:val="18"/>
          <w:color w:val="auto"/>
        </w:rPr>
        <w:t>Potentially dilutive common shares include dilutive outstanding employee stock options, RSUs and PSUs, rights to purchase shares of common stock under the Company’s ESPP, shares issuable in connection with the 1.50% convertible notes due 2024, and the Preferred Shares. For the three and nine months ended March 31, 2023, the Company recorded a net loss and all shares subject to outstanding equity awards were excluded from the calculation of diluted shares for those periods because their impact would have been anti-dilutive. For the three and nine months ended and April 1, 2022, the Company excluded common shares subject to certain outstanding equity awards from the calculation of diluted shares because their impact would have been anti-dilutive based on the Company’s average stock price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6"/>
          <w:szCs w:val="16"/>
          <w:b w:val="1"/>
          <w:bCs w:val="1"/>
          <w:color w:val="auto"/>
        </w:rPr>
        <w:t>Employee Termination, Asset Impairment, and Other Charges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43" w:lineRule="exact"/>
        <w:rPr>
          <w:sz w:val="20"/>
          <w:szCs w:val="20"/>
          <w:color w:val="auto"/>
        </w:rPr>
      </w:pPr>
    </w:p>
    <w:p>
      <w:pPr>
        <w:ind w:right="60" w:firstLine="316"/>
        <w:spacing w:after="0" w:line="257"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primarily consisting of organization rationalization designed to streamline its business, reduce its cost structure and focus its resources. The Company recorded the following charges related to these actions: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80" w:type="dxa"/>
            <w:vAlign w:val="bottom"/>
            <w:gridSpan w:val="4"/>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1120" w:type="dxa"/>
            <w:vAlign w:val="bottom"/>
          </w:tcPr>
          <w:p>
            <w:pPr>
              <w:jc w:val="right"/>
              <w:ind w:right="26"/>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25"/>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4"/>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Pr>
          <w:p>
            <w:pPr>
              <w:spacing w:after="0"/>
              <w:rPr>
                <w:sz w:val="16"/>
                <w:szCs w:val="16"/>
                <w:color w:val="auto"/>
              </w:rPr>
            </w:pPr>
          </w:p>
        </w:tc>
        <w:tc>
          <w:tcPr>
            <w:tcW w:w="11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5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 benefits</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impairments and other charges</w:t>
            </w:r>
          </w:p>
        </w:tc>
        <w:tc>
          <w:tcPr>
            <w:tcW w:w="11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1"/>
        </w:trPr>
        <w:tc>
          <w:tcPr>
            <w:tcW w:w="5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employee termination, asset impairment, and other charges</w:t>
            </w:r>
          </w:p>
        </w:tc>
        <w:tc>
          <w:tcPr>
            <w:tcW w:w="112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6142355</wp:posOffset>
            </wp:positionH>
            <wp:positionV relativeFrom="paragraph">
              <wp:posOffset>-577215</wp:posOffset>
            </wp:positionV>
            <wp:extent cx="67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-577215</wp:posOffset>
            </wp:positionV>
            <wp:extent cx="67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-577215</wp:posOffset>
            </wp:positionV>
            <wp:extent cx="67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these activities against the reserve during the nine months ended March 31,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Employee Termination</w:t>
            </w:r>
          </w:p>
        </w:tc>
      </w:tr>
      <w:tr>
        <w:trPr>
          <w:trHeight w:val="192"/>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Benefits</w:t>
            </w:r>
          </w:p>
        </w:tc>
      </w:tr>
      <w:tr>
        <w:trPr>
          <w:trHeight w:val="191"/>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1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Accrual balance at July 1, 2022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9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1"/>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6"/>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balance at March 31, 2023</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center"/>
        <w:ind w:left="400" w:right="2660"/>
        <w:spacing w:after="0" w:line="264"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Tax</w:t>
      </w:r>
    </w:p>
    <w:p>
      <w:pPr>
        <w:spacing w:after="0" w:line="230" w:lineRule="exact"/>
        <w:rPr>
          <w:sz w:val="20"/>
          <w:szCs w:val="20"/>
          <w:color w:val="auto"/>
        </w:rPr>
      </w:pPr>
    </w:p>
    <w:p>
      <w:pPr>
        <w:jc w:val="both"/>
        <w:ind w:right="20" w:firstLine="316"/>
        <w:spacing w:after="0" w:line="241" w:lineRule="auto"/>
        <w:rPr>
          <w:sz w:val="20"/>
          <w:szCs w:val="20"/>
          <w:color w:val="auto"/>
        </w:rPr>
      </w:pPr>
      <w:r>
        <w:rPr>
          <w:rFonts w:ascii="Times New Roman" w:cs="Times New Roman" w:eastAsia="Times New Roman" w:hAnsi="Times New Roman"/>
          <w:sz w:val="18"/>
          <w:szCs w:val="18"/>
          <w:color w:val="auto"/>
        </w:rPr>
        <w:t xml:space="preserve">For disclosures regarding statutory notices of deficiency issued by the IRS on June 28, 2018 and December 10, 2018, petitions filed by the Company with the U.S. Tax Court in September 2018 and March 2019, additional penalties asserted by the IRS in March 2021 and further Amendments to Answers filed by the IRS in June 2021 and January 2022, and the status of resolution with respect to certain matters, see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3"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245" w:lineRule="exact"/>
        <w:rPr>
          <w:sz w:val="20"/>
          <w:szCs w:val="20"/>
          <w:color w:val="auto"/>
        </w:rPr>
      </w:pPr>
    </w:p>
    <w:p>
      <w:pPr>
        <w:ind w:right="160" w:firstLine="316"/>
        <w:spacing w:after="0" w:line="214" w:lineRule="exact"/>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included in Part II, Item 8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July 1, 2022. See also “Forward-Looking Statements” immediately prior to Part I, Item 1 in this Quarterly Report on Form 10-Q.</w:t>
      </w:r>
    </w:p>
    <w:p>
      <w:pPr>
        <w:spacing w:after="0" w:line="223" w:lineRule="exact"/>
        <w:rPr>
          <w:sz w:val="20"/>
          <w:szCs w:val="20"/>
          <w:color w:val="auto"/>
        </w:rPr>
      </w:pPr>
    </w:p>
    <w:p>
      <w:pPr>
        <w:ind w:right="20" w:firstLine="316"/>
        <w:spacing w:after="0" w:line="269"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3" w:lineRule="exact"/>
        <w:rPr>
          <w:sz w:val="20"/>
          <w:szCs w:val="20"/>
          <w:color w:val="auto"/>
        </w:rPr>
      </w:pPr>
    </w:p>
    <w:p>
      <w:pPr>
        <w:ind w:right="80" w:firstLine="316"/>
        <w:spacing w:after="0" w:line="253" w:lineRule="auto"/>
        <w:rPr>
          <w:sz w:val="20"/>
          <w:szCs w:val="20"/>
          <w:color w:val="auto"/>
        </w:rPr>
      </w:pPr>
      <w:r>
        <w:rPr>
          <w:rFonts w:ascii="Times New Roman" w:cs="Times New Roman" w:eastAsia="Times New Roman" w:hAnsi="Times New Roman"/>
          <w:sz w:val="18"/>
          <w:szCs w:val="18"/>
          <w:color w:val="auto"/>
        </w:rPr>
        <w:t>We are on a mission to unlock the potential of data by harnessing the possibility to use it. We are a leading developer, manufacturer, and provider of data storage devices based on both flash-based products (“Flash”) and hard disk drives (“HDD”) technologies. With dedicated business units driving advancements in NAND flash and magnetic recording technologies, we create and drive innovations needed to help customers capture, preserve, access, and transform an ever-increasing diversity of data.</w:t>
      </w:r>
    </w:p>
    <w:p>
      <w:pPr>
        <w:spacing w:after="0" w:line="209" w:lineRule="exact"/>
        <w:rPr>
          <w:sz w:val="20"/>
          <w:szCs w:val="20"/>
          <w:color w:val="auto"/>
        </w:rPr>
      </w:pPr>
    </w:p>
    <w:p>
      <w:pPr>
        <w:ind w:right="60" w:firstLine="316"/>
        <w:spacing w:after="0" w:line="257"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Approximately every five to six years, we report a 53-week fiscal year to align the fiscal year with the foregoing policy. Fiscal years 2023, which ends on June 30, 2023, and 2022, which ended on July 1, 2022, are each comprised of 52 weeks, with all quarters presented consisting of 13 weeks.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Network Security Incident</w:t>
      </w:r>
    </w:p>
    <w:p>
      <w:pPr>
        <w:spacing w:after="0" w:line="217" w:lineRule="exact"/>
        <w:rPr>
          <w:sz w:val="20"/>
          <w:szCs w:val="20"/>
          <w:color w:val="auto"/>
        </w:rPr>
      </w:pPr>
    </w:p>
    <w:p>
      <w:pPr>
        <w:ind w:right="20" w:firstLine="316"/>
        <w:spacing w:after="0" w:line="233" w:lineRule="auto"/>
        <w:rPr>
          <w:sz w:val="20"/>
          <w:szCs w:val="20"/>
          <w:color w:val="auto"/>
        </w:rPr>
      </w:pPr>
      <w:r>
        <w:rPr>
          <w:rFonts w:ascii="Times New Roman" w:cs="Times New Roman" w:eastAsia="Times New Roman" w:hAnsi="Times New Roman"/>
          <w:sz w:val="18"/>
          <w:szCs w:val="18"/>
          <w:color w:val="auto"/>
        </w:rPr>
        <w:t>As previously disclosed, on March 26, 2023, we identified a network security incident in which an unauthorized third party gained access to a number of our systems. Upon discovery of the incident, we implemented incident response efforts, which included taking various systems and services offline as a proactive measure to secure our business operations and initiating an investigation with the assistance of leading outside security and forensic experts. Our forensic investigation is ongoing, as we work to understand the nature and scope of the systems accessed and data accessed or obtained by the unauthorized party, and we are coordinating with law enforcement authorities in connection with our investigation. To date, in collaboration with outside forensic experts, we have confirmed that an unauthorized party obtained a copy of a Western Digital database used for our online store that contained some personal information of our online store customers. This information included customer names, billing and shipping addresses, email addresses and telephone numbers. In addition, the database contained, in encrypted format, hashed and salted passwords and partial credit card numbers. We have provided notifications to impacted customers and relevant governmental authorities.</w:t>
      </w:r>
    </w:p>
    <w:p>
      <w:pPr>
        <w:spacing w:after="0" w:line="209" w:lineRule="exact"/>
        <w:rPr>
          <w:sz w:val="20"/>
          <w:szCs w:val="20"/>
          <w:color w:val="auto"/>
        </w:rPr>
      </w:pPr>
    </w:p>
    <w:p>
      <w:pPr>
        <w:ind w:firstLine="316"/>
        <w:spacing w:after="0" w:line="233" w:lineRule="auto"/>
        <w:rPr>
          <w:sz w:val="20"/>
          <w:szCs w:val="20"/>
          <w:color w:val="auto"/>
        </w:rPr>
      </w:pPr>
      <w:r>
        <w:rPr>
          <w:rFonts w:ascii="Times New Roman" w:cs="Times New Roman" w:eastAsia="Times New Roman" w:hAnsi="Times New Roman"/>
          <w:sz w:val="18"/>
          <w:szCs w:val="18"/>
          <w:color w:val="auto"/>
        </w:rPr>
        <w:t>The incident, together with the incident response efforts discussed above, resulted in some disruptions to our business operations, including manufacturing, sales, fulfillment and general corporate activities. We were able to stabilize core operations after a short period of time, and the incident did not have a material impact on the financial results for the three months ended March 31, 2023. We have continued to bring network systems back online in order of operational priority, and the majority of our impacted systems and services are now operational. The impact on revenues from these disruptions cannot be quantified at this time, but is not currently expected to be material or to have a material impact on our future financial results.</w:t>
      </w:r>
    </w:p>
    <w:p>
      <w:pPr>
        <w:spacing w:after="0" w:line="209" w:lineRule="exact"/>
        <w:rPr>
          <w:sz w:val="20"/>
          <w:szCs w:val="20"/>
          <w:color w:val="auto"/>
        </w:rPr>
      </w:pPr>
    </w:p>
    <w:p>
      <w:pPr>
        <w:ind w:firstLine="316"/>
        <w:spacing w:after="0" w:line="241" w:lineRule="auto"/>
        <w:rPr>
          <w:sz w:val="20"/>
          <w:szCs w:val="20"/>
          <w:color w:val="auto"/>
        </w:rPr>
      </w:pPr>
      <w:r>
        <w:rPr>
          <w:rFonts w:ascii="Times New Roman" w:cs="Times New Roman" w:eastAsia="Times New Roman" w:hAnsi="Times New Roman"/>
          <w:sz w:val="18"/>
          <w:szCs w:val="18"/>
          <w:color w:val="auto"/>
        </w:rPr>
        <w:t>We have incurred and expect to continue to incur investigation, recovery, and remediation expenses, including costs for forensics activities, third party consulting and service providers, outside legal advisors, and other IT professionals, as a result of the network security incident. These costs were nominal in the third quarter and will be primarily incurred in subsequent periods.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maintain cyber insurance, subject to certain deductibles and policy limitations, typical for our size and industry.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17" w:lineRule="exact"/>
        <w:rPr>
          <w:sz w:val="20"/>
          <w:szCs w:val="20"/>
          <w:color w:val="auto"/>
        </w:rPr>
      </w:pPr>
    </w:p>
    <w:p>
      <w:pPr>
        <w:ind w:right="260" w:firstLine="316"/>
        <w:spacing w:after="0" w:line="238" w:lineRule="auto"/>
        <w:rPr>
          <w:sz w:val="20"/>
          <w:szCs w:val="20"/>
          <w:color w:val="auto"/>
        </w:rPr>
      </w:pPr>
      <w:r>
        <w:rPr>
          <w:rFonts w:ascii="Times New Roman" w:cs="Times New Roman" w:eastAsia="Times New Roman" w:hAnsi="Times New Roman"/>
          <w:sz w:val="18"/>
          <w:szCs w:val="18"/>
          <w:color w:val="auto"/>
        </w:rPr>
        <w:t>In June 2022, we announced that we are reviewing potential strategic alternatives aimed at further optimizing long-term value for stockholders. The Executive Committee of our Board of Directors is overseeing the assessment process and evaluating a range of alternatives, including options for separating our Flash and HDD business units. As of March 31, 2023, we are still actively working with our financial advisors and our legal counsel in this strategic review process.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Operational Update</w:t>
      </w:r>
    </w:p>
    <w:p>
      <w:pPr>
        <w:spacing w:after="0" w:line="217" w:lineRule="exact"/>
        <w:rPr>
          <w:sz w:val="20"/>
          <w:szCs w:val="20"/>
          <w:color w:val="auto"/>
        </w:rPr>
      </w:pPr>
    </w:p>
    <w:p>
      <w:pPr>
        <w:ind w:right="40" w:firstLine="316"/>
        <w:spacing w:after="0" w:line="233" w:lineRule="auto"/>
        <w:rPr>
          <w:sz w:val="20"/>
          <w:szCs w:val="20"/>
          <w:color w:val="auto"/>
        </w:rPr>
      </w:pPr>
      <w:r>
        <w:rPr>
          <w:rFonts w:ascii="Times New Roman" w:cs="Times New Roman" w:eastAsia="Times New Roman" w:hAnsi="Times New Roman"/>
          <w:sz w:val="18"/>
          <w:szCs w:val="18"/>
          <w:color w:val="auto"/>
        </w:rPr>
        <w:t>Macroeconomic factors such as inflation, higher interest rates and recession concerns have softened demand for our products, with certain customers reducing purchases as they adjust their production levels and right-size their inventories. As a result, we and our industry are experiencing a supply-demand imbalance, which has resulted in reduced shipments and negatively impacted pricing, particularly in Flash. Since the beginning of fiscal 2023, we have scaled back on capital expenditures, consolidated production lines and reduced bit growth to align with market demand and implemented measures to reduce operating expenses. This has resulted in incremental charges for Employee termination, asset impairment and other charges and manufacturing underutilization charges in HDD and Flash in the second and third quarters of 2023, and is expected to impact near-term results. However, we believe digital transformation will continue to drive long-term growth for data storage in both Flash and HDD and believe that the actions we are taking will position us for profitable growth as supply and demand levels begin to balance.</w:t>
      </w:r>
    </w:p>
    <w:p>
      <w:pPr>
        <w:spacing w:after="0" w:line="226" w:lineRule="exact"/>
        <w:rPr>
          <w:sz w:val="20"/>
          <w:szCs w:val="20"/>
          <w:color w:val="auto"/>
        </w:rPr>
      </w:pPr>
    </w:p>
    <w:p>
      <w:pPr>
        <w:jc w:val="both"/>
        <w:ind w:firstLine="316"/>
        <w:spacing w:after="0" w:line="250" w:lineRule="auto"/>
        <w:rPr>
          <w:sz w:val="20"/>
          <w:szCs w:val="20"/>
          <w:color w:val="auto"/>
        </w:rPr>
      </w:pPr>
      <w:r>
        <w:rPr>
          <w:rFonts w:ascii="Times New Roman" w:cs="Times New Roman" w:eastAsia="Times New Roman" w:hAnsi="Times New Roman"/>
          <w:sz w:val="18"/>
          <w:szCs w:val="18"/>
          <w:color w:val="auto"/>
        </w:rPr>
        <w:t>We believe we have made significant progress in strengthening our product portfolio to meet our customers’ growing and evolving storage needs. Our hard drive products utilizing OptiNAND and shingled magnetic recording (“SMR”) technologies have commenced commercial shipments and our latest 26-terabyte SMR drives are on track to complete the qualifications at multiple cloud and OEM customers. During the third quarter of 2023, our BiCS6 based products have achieved cost crossover. We have announced the next generation, BiCS8 node, the newest 3D-flash memory technology, that builds upon the success of BiCS5 and BiCS6 to deliver improved performance, capacity, and reliability.</w:t>
      </w:r>
    </w:p>
    <w:p>
      <w:pPr>
        <w:spacing w:after="0" w:line="201" w:lineRule="exact"/>
        <w:rPr>
          <w:sz w:val="20"/>
          <w:szCs w:val="20"/>
          <w:color w:val="auto"/>
        </w:rPr>
      </w:pPr>
    </w:p>
    <w:p>
      <w:pPr>
        <w:ind w:firstLine="316"/>
        <w:spacing w:after="0" w:line="233" w:lineRule="auto"/>
        <w:rPr>
          <w:sz w:val="20"/>
          <w:szCs w:val="20"/>
          <w:color w:val="auto"/>
        </w:rPr>
      </w:pPr>
      <w:r>
        <w:rPr>
          <w:rFonts w:ascii="Times New Roman" w:cs="Times New Roman" w:eastAsia="Times New Roman" w:hAnsi="Times New Roman"/>
          <w:sz w:val="18"/>
          <w:szCs w:val="18"/>
          <w:color w:val="auto"/>
        </w:rPr>
        <w:t xml:space="preserve">We will continue to actively monitor recent developments impacting our business and may take additional responsive actions that we determine to be in the best interests of our business and stakeholders. See “Adverse global or regional conditions could harm our business” and “We are dependent on a limited number of qualified suppliers who provide critical services, materials or components, and a disruption in our supply chain could negatively affect our business”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year ended July 1, 2022 for more information regarding the risks we face as a result of macroeconomic conditions, and supply chain disruptions.</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70" w:lineRule="exact"/>
        <w:rPr>
          <w:sz w:val="20"/>
          <w:szCs w:val="20"/>
          <w:color w:val="auto"/>
        </w:rPr>
      </w:pPr>
    </w:p>
    <w:p>
      <w:pPr>
        <w:ind w:right="60" w:firstLine="316"/>
        <w:spacing w:after="0" w:line="263" w:lineRule="auto"/>
        <w:rPr>
          <w:sz w:val="20"/>
          <w:szCs w:val="20"/>
          <w:color w:val="auto"/>
        </w:rPr>
      </w:pPr>
      <w:r>
        <w:rPr>
          <w:rFonts w:ascii="Times New Roman" w:cs="Times New Roman" w:eastAsia="Times New Roman" w:hAnsi="Times New Roman"/>
          <w:sz w:val="16"/>
          <w:szCs w:val="16"/>
          <w:color w:val="auto"/>
        </w:rPr>
        <w:t xml:space="preserve">In December 2022, we amended the loan agreement governing our revolving credit facility and Term Loan A-2 to modify the leverage ratio requirements of our financial covenant through our quarter ending September 27, 2024 to provide additional financial flexibility as we navigate through the current dynamic economic environment. The amendment also accelerates the due date for amounts outstanding under the loan agreement from January 7, 2027 to November 2, 2023 if, as of that date, our cash and cash equivalents plus available unused capacity under our credit facilities does not exceed by $1 billion the sum of the outstanding balance of our 1.50% convertible notes due 2024 plus the outstanding principal amount of any other debt maturing within 12 months. As of March 31, 2023, our cash and cash equivalents plus available unused capacity under our credit facilities exceeded this requirement. Additional information regarding our indebtedness, including the principal repayment terms, interest rates, covenants and other key terms of our outstanding indebtedness, is included in Part I, Item 1,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of the Notes to Condensed Consolidated Financial Statements in this Quarterly Report on Form 10-Q and in Part II, Item 8,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Notes to Consolidated Financial Statements included in our Annual Report on Form 10-K for the fiscal year ended July 1, 2022.</w:t>
      </w:r>
    </w:p>
    <w:p>
      <w:pPr>
        <w:spacing w:after="0" w:line="203" w:lineRule="exact"/>
        <w:rPr>
          <w:sz w:val="20"/>
          <w:szCs w:val="20"/>
          <w:color w:val="auto"/>
        </w:rPr>
      </w:pPr>
    </w:p>
    <w:p>
      <w:pPr>
        <w:ind w:right="20" w:firstLine="316"/>
        <w:spacing w:after="0" w:line="257" w:lineRule="auto"/>
        <w:rPr>
          <w:sz w:val="20"/>
          <w:szCs w:val="20"/>
          <w:color w:val="auto"/>
        </w:rPr>
      </w:pPr>
      <w:r>
        <w:rPr>
          <w:rFonts w:ascii="Times New Roman" w:cs="Times New Roman" w:eastAsia="Times New Roman" w:hAnsi="Times New Roman"/>
          <w:sz w:val="18"/>
          <w:szCs w:val="18"/>
          <w:color w:val="auto"/>
        </w:rPr>
        <w:t>On January 25, 2023, we entered into a new delayed draw term loan agreement, which allows us to draw a single unsecured loan of up to $875 million any time through June 30, 2023. Any amount drawn will be due 364 days after funding or such earlier date that conditions for acceleration of amounts due under the loan agreement have been triggered as described above.</w:t>
      </w:r>
    </w:p>
    <w:p>
      <w:pPr>
        <w:spacing w:after="0" w:line="206" w:lineRule="exact"/>
        <w:rPr>
          <w:sz w:val="20"/>
          <w:szCs w:val="20"/>
          <w:color w:val="auto"/>
        </w:rPr>
      </w:pPr>
    </w:p>
    <w:p>
      <w:pPr>
        <w:ind w:right="120" w:firstLine="316"/>
        <w:spacing w:after="0" w:line="257" w:lineRule="auto"/>
        <w:rPr>
          <w:sz w:val="20"/>
          <w:szCs w:val="20"/>
          <w:color w:val="auto"/>
        </w:rPr>
      </w:pPr>
      <w:r>
        <w:rPr>
          <w:rFonts w:ascii="Times New Roman" w:cs="Times New Roman" w:eastAsia="Times New Roman" w:hAnsi="Times New Roman"/>
          <w:sz w:val="18"/>
          <w:szCs w:val="18"/>
          <w:color w:val="auto"/>
        </w:rPr>
        <w:t xml:space="preserve">On January 31, 2023, we issued an aggregate of 900,000 shares of Series A Preferred Stock for an aggregate purchase price of $900 million. Additional information regarding the terms of our Series A Preferred Stock is included in Note 12,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these transactions will provide us with greater financial flexibility to manage our business.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Resolution</w:t>
      </w:r>
    </w:p>
    <w:p>
      <w:pPr>
        <w:spacing w:after="0" w:line="243"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 xml:space="preserve">As previously disclosed, we have received statutory notices of deficiency and notices of proposed adjustments from the Internal Revenue Service (“IRS”) with respect to 2008 through 2015. During the third quarter of 2023, we and the IRS reached an agreement on the federal tax and interest calculations with respect to the years 2008 through 2012 and a tentative settlement for the years 2013 through 2015. Additional information regarding these settlements and our assessment of the potential tax and interest payments we expect to pay in connection with the settlements is provided in our discussion of Income tax expense in our results of operations below, as well as in Part I, Item 1,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the Condensed Consolidated Financial Statements, and in the “Short- and Long-Term Liquidity-Unrecognized Tax Benefits” section below.</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Russia Sanctions</w:t>
      </w:r>
    </w:p>
    <w:p>
      <w:pPr>
        <w:spacing w:after="0" w:line="243" w:lineRule="exact"/>
        <w:rPr>
          <w:sz w:val="20"/>
          <w:szCs w:val="20"/>
          <w:color w:val="auto"/>
        </w:rPr>
      </w:pPr>
    </w:p>
    <w:p>
      <w:pPr>
        <w:ind w:right="40" w:firstLine="316"/>
        <w:spacing w:after="0" w:line="257" w:lineRule="auto"/>
        <w:rPr>
          <w:sz w:val="20"/>
          <w:szCs w:val="20"/>
          <w:color w:val="auto"/>
        </w:rPr>
      </w:pPr>
      <w:r>
        <w:rPr>
          <w:rFonts w:ascii="Times New Roman" w:cs="Times New Roman" w:eastAsia="Times New Roman" w:hAnsi="Times New Roman"/>
          <w:sz w:val="18"/>
          <w:szCs w:val="18"/>
          <w:color w:val="auto"/>
        </w:rPr>
        <w:t>In February 2022, the U.S. and other countries imposed sanctions on Russia. In accordance with these sanctions, we have ceased shipments to distributors for customers located in Russia. Our revenue from distributors for customers in Russia have not been significant. We have no material assets or operations in Russia.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Third Quarter and Nine Month Overview</w:t>
      </w:r>
    </w:p>
    <w:p>
      <w:pPr>
        <w:spacing w:after="0" w:line="243" w:lineRule="exact"/>
        <w:rPr>
          <w:sz w:val="20"/>
          <w:szCs w:val="20"/>
          <w:color w:val="auto"/>
        </w:rPr>
      </w:pPr>
    </w:p>
    <w:p>
      <w:pPr>
        <w:ind w:right="240" w:firstLine="316"/>
        <w:spacing w:after="0" w:line="247"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left="262"/>
              <w:spacing w:after="0" w:line="130"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left="303"/>
              <w:spacing w:after="0" w:line="130"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100.0 %</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4,381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(1,578)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4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89.8</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3,200</w:t>
            </w:r>
          </w:p>
        </w:tc>
        <w:tc>
          <w:tcPr>
            <w:tcW w:w="4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73.0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rPr>
              <w:t>(683)</w:t>
            </w:r>
          </w:p>
        </w:tc>
        <w:tc>
          <w:tcPr>
            <w:tcW w:w="10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6"/>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1,181</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(895)</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8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(96)</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80" w:type="dxa"/>
            <w:vAlign w:val="bottom"/>
          </w:tcPr>
          <w:p>
            <w:pPr>
              <w:spacing w:after="0"/>
              <w:rPr>
                <w:sz w:val="18"/>
                <w:szCs w:val="18"/>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281</w:t>
            </w:r>
          </w:p>
        </w:tc>
        <w:tc>
          <w:tcPr>
            <w:tcW w:w="440" w:type="dxa"/>
            <w:vAlign w:val="bottom"/>
          </w:tcPr>
          <w:p>
            <w:pPr>
              <w:spacing w:after="0"/>
              <w:rPr>
                <w:sz w:val="18"/>
                <w:szCs w:val="18"/>
                <w:color w:val="auto"/>
              </w:rPr>
            </w:pPr>
          </w:p>
        </w:tc>
        <w:tc>
          <w:tcPr>
            <w:tcW w:w="6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36</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4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27.0</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857</w:t>
            </w:r>
          </w:p>
        </w:tc>
        <w:tc>
          <w:tcPr>
            <w:tcW w:w="4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rPr>
              <w:t>(99)</w:t>
            </w:r>
          </w:p>
        </w:tc>
        <w:tc>
          <w:tcPr>
            <w:tcW w:w="10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(16.8)</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324</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(796)</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09"/>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80" w:type="dxa"/>
            <w:vAlign w:val="bottom"/>
          </w:tcPr>
          <w:p>
            <w:pPr>
              <w:spacing w:after="0"/>
              <w:rPr>
                <w:sz w:val="18"/>
                <w:szCs w:val="18"/>
                <w:color w:val="auto"/>
              </w:rPr>
            </w:pPr>
          </w:p>
        </w:tc>
        <w:tc>
          <w:tcPr>
            <w:tcW w:w="7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40" w:type="dxa"/>
            <w:vAlign w:val="bottom"/>
          </w:tcPr>
          <w:p>
            <w:pPr>
              <w:spacing w:after="0"/>
              <w:rPr>
                <w:sz w:val="18"/>
                <w:szCs w:val="18"/>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262</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(791)</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237</w:t>
            </w:r>
          </w:p>
        </w:tc>
        <w:tc>
          <w:tcPr>
            <w:tcW w:w="4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rPr>
              <w:t>(194)</w:t>
            </w:r>
          </w:p>
        </w:tc>
        <w:tc>
          <w:tcPr>
            <w:tcW w:w="10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(597)</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tcPr>
          <w:p>
            <w:pPr>
              <w:spacing w:after="0"/>
              <w:rPr>
                <w:sz w:val="18"/>
                <w:szCs w:val="18"/>
                <w:color w:val="auto"/>
              </w:rPr>
            </w:pP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(20.7)%</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(606)</w:t>
            </w: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5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left="302"/>
              <w:spacing w:after="0" w:line="127"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left="26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left="383"/>
              <w:spacing w:after="0"/>
              <w:rPr>
                <w:sz w:val="20"/>
                <w:szCs w:val="20"/>
                <w:color w:val="auto"/>
              </w:rPr>
            </w:pPr>
            <w:r>
              <w:rPr>
                <w:rFonts w:ascii="Times New Roman" w:cs="Times New Roman" w:eastAsia="Times New Roman" w:hAnsi="Times New Roman"/>
                <w:sz w:val="14"/>
                <w:szCs w:val="14"/>
                <w:i w:val="1"/>
                <w:iCs w:val="1"/>
                <w:color w:val="auto"/>
                <w:w w:val="99"/>
              </w:rPr>
              <w:t>$ in millions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net</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100.0 %</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14,265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81.4</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9,836</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69.0</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(1,985)</w:t>
            </w:r>
          </w:p>
        </w:tc>
        <w:tc>
          <w:tcPr>
            <w:tcW w:w="10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18.6</w:t>
            </w: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4,429</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(2,634)</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8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12.1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(174)</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48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851</w:t>
            </w:r>
          </w:p>
        </w:tc>
        <w:tc>
          <w:tcPr>
            <w:tcW w:w="520" w:type="dxa"/>
            <w:vAlign w:val="bottom"/>
          </w:tcPr>
          <w:p>
            <w:pPr>
              <w:spacing w:after="0"/>
              <w:rPr>
                <w:sz w:val="18"/>
                <w:szCs w:val="18"/>
                <w:color w:val="auto"/>
              </w:rPr>
            </w:pP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8"/>
                <w:szCs w:val="18"/>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116</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2"/>
        </w:trPr>
        <w:tc>
          <w:tcPr>
            <w:tcW w:w="4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2,600</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18.2</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(170)</w:t>
            </w:r>
          </w:p>
        </w:tc>
        <w:tc>
          <w:tcPr>
            <w:tcW w:w="10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1,829</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12.8</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(2,464)</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480" w:type="dxa"/>
            <w:vAlign w:val="bottom"/>
          </w:tcPr>
          <w:p>
            <w:pPr>
              <w:spacing w:after="0"/>
              <w:rPr>
                <w:sz w:val="18"/>
                <w:szCs w:val="18"/>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5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2"/>
        </w:trPr>
        <w:tc>
          <w:tcPr>
            <w:tcW w:w="4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5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1,612</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(2,442)</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413</w:t>
            </w:r>
          </w:p>
        </w:tc>
        <w:tc>
          <w:tcPr>
            <w:tcW w:w="5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(252)</w:t>
            </w:r>
          </w:p>
        </w:tc>
        <w:tc>
          <w:tcPr>
            <w:tcW w:w="10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1,199</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(2,190)</w:t>
            </w:r>
          </w:p>
        </w:tc>
        <w:tc>
          <w:tcPr>
            <w:tcW w:w="1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cumulative dividends allocated to preferred shareholders</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1,199</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(2,199)</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5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a summary of our segment information: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64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7"/>
        </w:trPr>
        <w:tc>
          <w:tcPr>
            <w:tcW w:w="4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22"/>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22"/>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4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0"/>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7,353</w:t>
            </w:r>
          </w:p>
        </w:tc>
      </w:tr>
      <w:tr>
        <w:trPr>
          <w:trHeight w:val="21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4,960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6,912</w:t>
            </w:r>
          </w:p>
        </w:tc>
      </w:tr>
      <w:tr>
        <w:trPr>
          <w:trHeight w:val="202"/>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14,265</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4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2,665</w:t>
            </w:r>
          </w:p>
        </w:tc>
      </w:tr>
      <w:tr>
        <w:trPr>
          <w:trHeight w:val="21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2,061</w:t>
            </w:r>
          </w:p>
        </w:tc>
      </w:tr>
      <w:tr>
        <w:trPr>
          <w:trHeight w:val="209"/>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Unallocated corporate items: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(36)</w:t>
            </w:r>
          </w:p>
        </w:tc>
      </w:tr>
      <w:tr>
        <w:trPr>
          <w:trHeight w:val="209"/>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Contamination related charges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(203)</w:t>
            </w:r>
          </w:p>
        </w:tc>
      </w:tr>
      <w:tr>
        <w:trPr>
          <w:trHeight w:val="209"/>
        </w:trPr>
        <w:tc>
          <w:tcPr>
            <w:tcW w:w="4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Recoveries from a power outage incident</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4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unallocated corporate items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(297)</w:t>
            </w:r>
          </w:p>
        </w:tc>
      </w:tr>
      <w:tr>
        <w:trPr>
          <w:trHeight w:val="202"/>
        </w:trPr>
        <w:tc>
          <w:tcPr>
            <w:tcW w:w="47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Consolidated gross profit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4,429</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4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9"/>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Flash</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36.2 %</w:t>
            </w:r>
          </w:p>
        </w:tc>
      </w:tr>
      <w:tr>
        <w:trPr>
          <w:trHeight w:val="213"/>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HDD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r>
      <w:tr>
        <w:trPr>
          <w:trHeight w:val="207"/>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gross margin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5908040</wp:posOffset>
            </wp:positionH>
            <wp:positionV relativeFrom="paragraph">
              <wp:posOffset>-2601595</wp:posOffset>
            </wp:positionV>
            <wp:extent cx="584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-2601595</wp:posOffset>
            </wp:positionV>
            <wp:extent cx="58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-2601595</wp:posOffset>
            </wp:positionV>
            <wp:extent cx="673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52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7"/>
        </w:trPr>
        <w:tc>
          <w:tcPr>
            <w:tcW w:w="5180" w:type="dxa"/>
            <w:vAlign w:val="bottom"/>
          </w:tcPr>
          <w:p>
            <w:pPr>
              <w:spacing w:after="0"/>
              <w:rPr>
                <w:sz w:val="11"/>
                <w:szCs w:val="11"/>
                <w:color w:val="auto"/>
              </w:rPr>
            </w:pPr>
          </w:p>
        </w:tc>
        <w:tc>
          <w:tcPr>
            <w:tcW w:w="1540" w:type="dxa"/>
            <w:vAlign w:val="bottom"/>
            <w:gridSpan w:val="3"/>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1"/>
                <w:szCs w:val="11"/>
                <w:color w:val="auto"/>
              </w:rPr>
            </w:pPr>
          </w:p>
        </w:tc>
        <w:tc>
          <w:tcPr>
            <w:tcW w:w="1140" w:type="dxa"/>
            <w:vAlign w:val="bottom"/>
          </w:tcPr>
          <w:p>
            <w:pPr>
              <w:jc w:val="right"/>
              <w:ind w:right="403"/>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5180" w:type="dxa"/>
            <w:vAlign w:val="bottom"/>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End Market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Cloud</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1,774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4,258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Client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w:t>
            </w:r>
          </w:p>
        </w:tc>
      </w:tr>
      <w:tr>
        <w:trPr>
          <w:trHeight w:val="20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2,095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r>
      <w:tr>
        <w:trPr>
          <w:trHeight w:val="23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Geography</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0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4,381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Three and Nine Months Ended March 31, 2023 to Three and Nine Months Ended April 1, 2022</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30" w:lineRule="exact"/>
        <w:rPr>
          <w:sz w:val="20"/>
          <w:szCs w:val="20"/>
          <w:color w:val="auto"/>
        </w:rPr>
      </w:pPr>
    </w:p>
    <w:p>
      <w:pPr>
        <w:ind w:right="120" w:firstLine="316"/>
        <w:spacing w:after="0" w:line="254" w:lineRule="auto"/>
        <w:rPr>
          <w:sz w:val="20"/>
          <w:szCs w:val="20"/>
          <w:color w:val="auto"/>
        </w:rPr>
      </w:pPr>
      <w:r>
        <w:rPr>
          <w:rFonts w:ascii="Times New Roman" w:cs="Times New Roman" w:eastAsia="Times New Roman" w:hAnsi="Times New Roman"/>
          <w:sz w:val="18"/>
          <w:szCs w:val="18"/>
          <w:color w:val="auto"/>
        </w:rPr>
        <w:t>The decrease in consolidated net revenue for the three and nine months ended March 31, 2023 from the comparable periods in the prior year reflected the current supply-demand imbalance and macroeconomic pressures described in “Operational Update” above.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Flash revenue decreased 42% and 36% for the three and nine months ended March 31, 2023, respectively, from the comparable periods in the prior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decline was driven by a decline in average selling prices per gigabyte caused by the macroeconomic pressures noted previously.</w:t>
      </w:r>
    </w:p>
    <w:p>
      <w:pPr>
        <w:spacing w:after="0" w:line="248" w:lineRule="exact"/>
        <w:rPr>
          <w:sz w:val="20"/>
          <w:szCs w:val="20"/>
          <w:color w:val="auto"/>
        </w:rPr>
      </w:pPr>
    </w:p>
    <w:p>
      <w:pPr>
        <w:ind w:firstLine="316"/>
        <w:spacing w:after="0" w:line="241" w:lineRule="auto"/>
        <w:rPr>
          <w:sz w:val="20"/>
          <w:szCs w:val="20"/>
          <w:color w:val="auto"/>
        </w:rPr>
      </w:pPr>
      <w:r>
        <w:rPr>
          <w:rFonts w:ascii="Times New Roman" w:cs="Times New Roman" w:eastAsia="Times New Roman" w:hAnsi="Times New Roman"/>
          <w:sz w:val="18"/>
          <w:szCs w:val="18"/>
          <w:color w:val="auto"/>
        </w:rPr>
        <w:t>HDD revenue decreased 30% and 28% for the three and nine months ended March 31, 2023, respectively from the comparable periods in the prior year primarily as a result of a decline in exabytes shipped of 23% and 22% respectively, primarily driven by lower exabyte shipments to customers in our Cloud end market and to a lesser extent in Client and Consumer end markets.</w:t>
      </w:r>
    </w:p>
    <w:p>
      <w:pPr>
        <w:spacing w:after="0" w:line="221" w:lineRule="exact"/>
        <w:rPr>
          <w:sz w:val="20"/>
          <w:szCs w:val="20"/>
          <w:color w:val="auto"/>
        </w:rPr>
      </w:pPr>
    </w:p>
    <w:p>
      <w:pPr>
        <w:ind w:right="180" w:firstLine="316"/>
        <w:spacing w:after="0" w:line="249" w:lineRule="auto"/>
        <w:rPr>
          <w:sz w:val="20"/>
          <w:szCs w:val="20"/>
          <w:color w:val="auto"/>
        </w:rPr>
      </w:pPr>
      <w:r>
        <w:rPr>
          <w:rFonts w:ascii="Times New Roman" w:cs="Times New Roman" w:eastAsia="Times New Roman" w:hAnsi="Times New Roman"/>
          <w:sz w:val="18"/>
          <w:szCs w:val="18"/>
          <w:color w:val="auto"/>
        </w:rPr>
        <w:t>The decrease in Cloud revenue for the three months ended March 31, 2023 from the comparable period in the prior year reflected a decline in capacity enterprise revenues as customers reduced purchases to right-size their inventories, and to a lesser extent, a decline in bits and pricing for our flash based products. In Client, the decrease in revenue for the three months ended March 31, 2023 from the comparable period in the prior year was driven by pricing pressure across Flash, and a decline in client SSD and HDD shipments for PC applications. In Consumer, the decrease in revenue for the three months ended March 31, 2023 from the comparable period in the prior year primarily reflected the decrease in average selling price per gigabyte in Flash, and to the same extent, a decline in retail HDD shipments.</w:t>
      </w:r>
    </w:p>
    <w:p>
      <w:pPr>
        <w:spacing w:after="0" w:line="202" w:lineRule="exact"/>
        <w:rPr>
          <w:sz w:val="20"/>
          <w:szCs w:val="20"/>
          <w:color w:val="auto"/>
        </w:rPr>
      </w:pPr>
    </w:p>
    <w:p>
      <w:pPr>
        <w:ind w:right="120" w:firstLine="316"/>
        <w:spacing w:after="0" w:line="254" w:lineRule="auto"/>
        <w:rPr>
          <w:sz w:val="20"/>
          <w:szCs w:val="20"/>
          <w:color w:val="auto"/>
        </w:rPr>
      </w:pPr>
      <w:r>
        <w:rPr>
          <w:rFonts w:ascii="Times New Roman" w:cs="Times New Roman" w:eastAsia="Times New Roman" w:hAnsi="Times New Roman"/>
          <w:sz w:val="18"/>
          <w:szCs w:val="18"/>
          <w:color w:val="auto"/>
        </w:rPr>
        <w:t>The decreases in Cloud, Client, and Consumer revenue for the nine months ended March 31, 2023 from the comparable period in the prior year primarily reflected the same drivers noted above for the three-month period.</w:t>
      </w:r>
    </w:p>
    <w:p>
      <w:pPr>
        <w:spacing w:after="0" w:line="208" w:lineRule="exact"/>
        <w:rPr>
          <w:sz w:val="20"/>
          <w:szCs w:val="20"/>
          <w:color w:val="auto"/>
        </w:rPr>
      </w:pPr>
    </w:p>
    <w:p>
      <w:pPr>
        <w:jc w:val="both"/>
        <w:ind w:right="160" w:firstLine="316"/>
        <w:spacing w:after="0" w:line="257" w:lineRule="auto"/>
        <w:rPr>
          <w:sz w:val="20"/>
          <w:szCs w:val="20"/>
          <w:color w:val="auto"/>
        </w:rPr>
      </w:pPr>
      <w:r>
        <w:rPr>
          <w:rFonts w:ascii="Times New Roman" w:cs="Times New Roman" w:eastAsia="Times New Roman" w:hAnsi="Times New Roman"/>
          <w:sz w:val="18"/>
          <w:szCs w:val="18"/>
          <w:color w:val="auto"/>
        </w:rPr>
        <w:t>The changes in net revenue by geography for the three and nine months ended March 31, 2023 from the comparable periods in the prior year reflected a larger decline in Asia from lower Client revenue from OEMs in this region as they reduced purchases to align with current market demand, as well as routine variations in the mix of business.</w:t>
      </w:r>
    </w:p>
    <w:p>
      <w:pPr>
        <w:spacing w:after="0" w:line="206" w:lineRule="exact"/>
        <w:rPr>
          <w:sz w:val="20"/>
          <w:szCs w:val="20"/>
          <w:color w:val="auto"/>
        </w:rPr>
      </w:pPr>
    </w:p>
    <w:p>
      <w:pPr>
        <w:ind w:right="40" w:firstLine="316"/>
        <w:spacing w:after="0" w:line="253" w:lineRule="auto"/>
        <w:rPr>
          <w:sz w:val="20"/>
          <w:szCs w:val="20"/>
          <w:color w:val="auto"/>
        </w:rPr>
      </w:pPr>
      <w:r>
        <w:rPr>
          <w:rFonts w:ascii="Times New Roman" w:cs="Times New Roman" w:eastAsia="Times New Roman" w:hAnsi="Times New Roman"/>
          <w:sz w:val="18"/>
          <w:szCs w:val="18"/>
          <w:color w:val="auto"/>
        </w:rPr>
        <w:t>Our top 10 customers accounted for 49% of our net revenue for the three months ended March 31, 2023, compared to 44% of our net revenue for the three months ended April 1, 2022. Our top 10 customers accounted for 45% of our net revenue for the nine months ended March 31, 2023, compared to 43% of our net revenue for the nine months ended April 1, 2022. For each of the three and nine months ended March 31, 2023 and April 1, 2022, no single customer accounted for 10% or more of our net revenue.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16"/>
        <w:spacing w:after="0" w:line="250"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These programs represented 22% and 20% of gross revenue for the three and nine months ended March 31, 2023, respectively.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43" w:lineRule="exact"/>
        <w:rPr>
          <w:sz w:val="20"/>
          <w:szCs w:val="20"/>
          <w:color w:val="auto"/>
        </w:rPr>
      </w:pPr>
    </w:p>
    <w:p>
      <w:pPr>
        <w:ind w:right="20" w:firstLine="316"/>
        <w:spacing w:after="0" w:line="247" w:lineRule="auto"/>
        <w:rPr>
          <w:sz w:val="20"/>
          <w:szCs w:val="20"/>
          <w:color w:val="auto"/>
        </w:rPr>
      </w:pPr>
      <w:r>
        <w:rPr>
          <w:rFonts w:ascii="Times New Roman" w:cs="Times New Roman" w:eastAsia="Times New Roman" w:hAnsi="Times New Roman"/>
          <w:sz w:val="18"/>
          <w:szCs w:val="18"/>
          <w:color w:val="auto"/>
        </w:rPr>
        <w:t>Consolidated gross profit decreased by $895 million for the three months ended March 31, 2023 from the comparable period in the prior year, which reflected the decrease in revenue described above as well as approximately $275 million for manufacturing underutilization and related charges and a write down of certain Flash inventory to the lower of cost or market value ($213 million in Flash and $62 million in HDD) during the three months ended March 31, 2023, partially offset by $203 million of charges related to a contamination event in the Flash Ventures’ fabrication facilities in the prior year. Consolidated gross margin decreased 16.8 percentage points for the three months ended March 31, 2023 from the comparable period in the prior year, with approximately 5 percentage points of the decline due to the net charges noted above and the remainder primarily driven by the lower average selling prices per gigabyte in Flash. Flash gross margin decreased by 40.6 percentage points year over year, with approximately 7 percentage points of the decline due to the net charges noted above and the remainder driven by the lower average selling prices per gigabyte. HDD gross margin decreased by 3.4 percentage points year over year, substantially all of which related to the charges noted above.</w:t>
      </w:r>
    </w:p>
    <w:p>
      <w:pPr>
        <w:spacing w:after="0" w:line="219" w:lineRule="exact"/>
        <w:rPr>
          <w:sz w:val="20"/>
          <w:szCs w:val="20"/>
          <w:color w:val="auto"/>
        </w:rPr>
      </w:pPr>
    </w:p>
    <w:p>
      <w:pPr>
        <w:ind w:firstLine="316"/>
        <w:spacing w:after="0" w:line="247" w:lineRule="auto"/>
        <w:rPr>
          <w:sz w:val="20"/>
          <w:szCs w:val="20"/>
          <w:color w:val="auto"/>
        </w:rPr>
      </w:pPr>
      <w:r>
        <w:rPr>
          <w:rFonts w:ascii="Times New Roman" w:cs="Times New Roman" w:eastAsia="Times New Roman" w:hAnsi="Times New Roman"/>
          <w:sz w:val="18"/>
          <w:szCs w:val="18"/>
          <w:color w:val="auto"/>
        </w:rPr>
        <w:t>Consolidated gross profit decreased by $2.63 billion for the nine months ended March 31, 2023 from the comparable period in the prior year, which reflected the decrease in revenue described above as well as approximately $375 million for manufacturing underutilization and related charges and a write down of certain Flash inventory to the lower of cost or market value ($213 million in Flash and $162 million in HDD), partially offset by $203 million of charges related to a contamination event in the Flash Ventures’ fabrication facilities in the prior year, and a $65 million decrease during the nine months ended March 31, 2023 in charges related to amortization expense on acquired intangible assets, some of which became fully amortized. Consolidated gross margin decreased 12.4 percentage points for the nine months ended March 31, 2023 from the comparable period in the prior year, with approximately 2 percentage points of the decline due to the net charges noted above and the remainder driven by the lower average selling prices per gigabyte in Flash. Flash gross margin decreased by 23.5 percentage points year over year, substantially driven by lower average selling prices per gigabyte in Flash. HDD gross margin decreased by 4.9 percentage points year over year, with approximately 3 percentage points of the decline due to the underutilization charge noted above and the remainder primarily reflecting lower average selling prices per gigabyte and variation in the mix of products.</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3" w:lineRule="exact"/>
        <w:rPr>
          <w:sz w:val="20"/>
          <w:szCs w:val="20"/>
          <w:color w:val="auto"/>
        </w:rPr>
      </w:pPr>
    </w:p>
    <w:p>
      <w:pPr>
        <w:ind w:right="100" w:firstLine="316"/>
        <w:spacing w:after="0" w:line="250" w:lineRule="auto"/>
        <w:rPr>
          <w:sz w:val="20"/>
          <w:szCs w:val="20"/>
          <w:color w:val="auto"/>
        </w:rPr>
      </w:pPr>
      <w:r>
        <w:rPr>
          <w:rFonts w:ascii="Times New Roman" w:cs="Times New Roman" w:eastAsia="Times New Roman" w:hAnsi="Times New Roman"/>
          <w:sz w:val="18"/>
          <w:szCs w:val="18"/>
          <w:color w:val="auto"/>
        </w:rPr>
        <w:t>Research and development (“R&amp;D”) expense decreased $96 million for the three months ended March 31, 2023, from the comparable period in the prior year. The declines were primarily driven by reductions in variable compensation expenses, headcount, and material use as we took actions to reduce expenses in the current environment. R&amp;D expense decreased $174 million for nine months ended March 31, 2023 from the comparable period in the prior year. The declines were primarily driven by reductions in variable compensation expenses and material use as we took actions to reduce expenses in the current environment.</w:t>
      </w:r>
    </w:p>
    <w:p>
      <w:pPr>
        <w:spacing w:after="0" w:line="214" w:lineRule="exact"/>
        <w:rPr>
          <w:sz w:val="20"/>
          <w:szCs w:val="20"/>
          <w:color w:val="auto"/>
        </w:rPr>
      </w:pPr>
    </w:p>
    <w:p>
      <w:pPr>
        <w:ind w:right="180" w:firstLine="316"/>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(“SG&amp;A”) expense decreased $39 million and $112 million for the three and nine months ended March 31, 2023, respectively, from the comparable periods in the prior year. The declines were primarily driven by reductions in headcount, variable compensation expenses, and material use as we took actions to reduce expenses in the current environment.</w:t>
      </w:r>
    </w:p>
    <w:p>
      <w:pPr>
        <w:spacing w:after="0" w:line="206" w:lineRule="exact"/>
        <w:rPr>
          <w:sz w:val="20"/>
          <w:szCs w:val="20"/>
          <w:color w:val="auto"/>
        </w:rPr>
      </w:pPr>
    </w:p>
    <w:p>
      <w:pPr>
        <w:ind w:right="160" w:firstLine="316"/>
        <w:spacing w:after="0" w:line="239" w:lineRule="auto"/>
        <w:rPr>
          <w:sz w:val="20"/>
          <w:szCs w:val="20"/>
          <w:color w:val="auto"/>
        </w:rPr>
      </w:pPr>
      <w:r>
        <w:rPr>
          <w:rFonts w:ascii="Times New Roman" w:cs="Times New Roman" w:eastAsia="Times New Roman" w:hAnsi="Times New Roman"/>
          <w:sz w:val="18"/>
          <w:szCs w:val="18"/>
          <w:color w:val="auto"/>
        </w:rPr>
        <w:t xml:space="preserve">Employee termination, asset impairment and other charges increased $36 million and $116 million for the three and nine months ended March 31, 2023, respectively, from the comparable periods in the prior year. The increases were due to restructuring actions taken to adjust our cost structure to align with the current demand environment. For information regarding Employee termination, asset impairment and other charges, see Part I, Item 1, Note 15,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Termination, Asset Impairment, and Other Charges </w:t>
      </w:r>
      <w:r>
        <w:rPr>
          <w:rFonts w:ascii="Times New Roman" w:cs="Times New Roman" w:eastAsia="Times New Roman" w:hAnsi="Times New Roman"/>
          <w:sz w:val="18"/>
          <w:szCs w:val="18"/>
          <w:color w:val="auto"/>
        </w:rPr>
        <w:t>of the Notes to Condensed Consolidated Financial Statements included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interest and other expense, net decreased $5 million for the three months ended March 31, 2023 from the comparable period in the prior year,</w:t>
      </w:r>
    </w:p>
    <w:p>
      <w:pPr>
        <w:spacing w:after="0" w:line="30"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6"/>
          <w:szCs w:val="16"/>
          <w:color w:val="auto"/>
        </w:rPr>
        <w:t>reflecting higher interest income resulting from increases in interest rates as well as available cash from our issuance of the Series A Preferred Stock as discussed in “Key Developments - Financing Activities”. Total interest and other expense, net decreased $22 million for the nine months ended March 31,</w:t>
      </w:r>
    </w:p>
    <w:p>
      <w:pPr>
        <w:ind w:right="20"/>
        <w:spacing w:after="0" w:line="235" w:lineRule="auto"/>
        <w:rPr>
          <w:sz w:val="20"/>
          <w:szCs w:val="20"/>
          <w:color w:val="auto"/>
        </w:rPr>
      </w:pPr>
      <w:r>
        <w:rPr>
          <w:rFonts w:ascii="Times New Roman" w:cs="Times New Roman" w:eastAsia="Times New Roman" w:hAnsi="Times New Roman"/>
          <w:sz w:val="18"/>
          <w:szCs w:val="18"/>
          <w:color w:val="auto"/>
        </w:rPr>
        <w:t>2023 from the comparable period in the prior year, reflecting higher interest income noted above as well as lower interest expense as a result of the reduction in debt made late in the prior year, partially offset by higher interest rates.</w:t>
      </w: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3" w:lineRule="exact"/>
        <w:rPr>
          <w:sz w:val="20"/>
          <w:szCs w:val="20"/>
          <w:color w:val="auto"/>
        </w:rPr>
      </w:pPr>
    </w:p>
    <w:p>
      <w:pPr>
        <w:jc w:val="both"/>
        <w:ind w:right="40" w:firstLine="316"/>
        <w:spacing w:after="0" w:line="250" w:lineRule="auto"/>
        <w:rPr>
          <w:sz w:val="20"/>
          <w:szCs w:val="20"/>
          <w:color w:val="auto"/>
        </w:rPr>
      </w:pPr>
      <w:r>
        <w:rPr>
          <w:rFonts w:ascii="Times New Roman" w:cs="Times New Roman" w:eastAsia="Times New Roman" w:hAnsi="Times New Roman"/>
          <w:sz w:val="18"/>
          <w:szCs w:val="18"/>
          <w:color w:val="auto"/>
        </w:rPr>
        <w:t>The Tax Cuts and Jobs Act (the “2017 Act”) includes a broad range of tax reform proposals affecting businesses. We completed our accounting for the tax effects of the enactment of the 2017 Act during the second quarter of fiscal 2019. However, the U.S. Treasury and the IRS have issued tax guidance on certain provisions of the 2017 Act since the enactment date, and we anticipate the issuance of additional regulatory and interpretive guidance. We applied a reasonable interpretation of the 2017 Act along with the then-available guidance in finalizing our accounting for the tax effects of the 2017 Act. Any additional regulatory or interpretive guidance would constitute new information, which may require further refinements to our estimates in future periods.</w:t>
      </w:r>
    </w:p>
    <w:p>
      <w:pPr>
        <w:spacing w:after="0" w:line="214" w:lineRule="exact"/>
        <w:rPr>
          <w:sz w:val="20"/>
          <w:szCs w:val="20"/>
          <w:color w:val="auto"/>
        </w:rPr>
      </w:pPr>
    </w:p>
    <w:p>
      <w:pPr>
        <w:ind w:right="60" w:firstLine="316"/>
        <w:spacing w:after="0" w:line="253"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which contained significant law changes related to tax, climate, energy, and health care. The tax measures include, among other things, a corporate alternative minimum tax of 15% on corporations with three-year average annual adjusted financial statement income exceeding $1 billion. The corporate alternative minimum tax will not be effective for us until fiscal year 2024. We are currently evaluating the potential effects of these legislative changes.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income tax information from our Condensed Consolidated Statements of Operations by dollar and effective tax 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gridSpan w:val="2"/>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00" w:type="dxa"/>
            <w:vAlign w:val="bottom"/>
            <w:gridSpan w:val="3"/>
          </w:tcPr>
          <w:p>
            <w:pPr>
              <w:jc w:val="right"/>
              <w:ind w:right="86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49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5"/>
        </w:trPr>
        <w:tc>
          <w:tcPr>
            <w:tcW w:w="4920" w:type="dxa"/>
            <w:vAlign w:val="bottom"/>
          </w:tcPr>
          <w:p>
            <w:pPr>
              <w:spacing w:after="0"/>
              <w:rPr>
                <w:sz w:val="10"/>
                <w:szCs w:val="10"/>
                <w:color w:val="auto"/>
              </w:rPr>
            </w:pPr>
          </w:p>
        </w:tc>
        <w:tc>
          <w:tcPr>
            <w:tcW w:w="15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60" w:type="dxa"/>
            <w:vAlign w:val="bottom"/>
          </w:tcPr>
          <w:p>
            <w:pPr>
              <w:jc w:val="center"/>
              <w:ind w:left="447"/>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jc w:val="right"/>
              <w:ind w:right="405"/>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0"/>
                <w:szCs w:val="10"/>
                <w:color w:val="auto"/>
              </w:rPr>
            </w:pPr>
          </w:p>
        </w:tc>
        <w:tc>
          <w:tcPr>
            <w:tcW w:w="1200" w:type="dxa"/>
            <w:vAlign w:val="bottom"/>
          </w:tcPr>
          <w:p>
            <w:pPr>
              <w:jc w:val="right"/>
              <w:ind w:right="444"/>
              <w:spacing w:after="0" w:line="125"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2"/>
        </w:trPr>
        <w:tc>
          <w:tcPr>
            <w:tcW w:w="49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in millions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taxes</w:t>
            </w:r>
          </w:p>
        </w:tc>
        <w:tc>
          <w:tcPr>
            <w:tcW w:w="880" w:type="dxa"/>
            <w:vAlign w:val="bottom"/>
            <w:shd w:val="clear" w:color="auto" w:fill="CCEEFF"/>
          </w:tcPr>
          <w:p>
            <w:pPr>
              <w:jc w:val="right"/>
              <w:ind w:right="727"/>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(529)</w:t>
            </w:r>
          </w:p>
        </w:tc>
        <w:tc>
          <w:tcPr>
            <w:tcW w:w="1060" w:type="dxa"/>
            <w:vAlign w:val="bottom"/>
            <w:shd w:val="clear" w:color="auto" w:fill="CCEEFF"/>
          </w:tcPr>
          <w:p>
            <w:pPr>
              <w:jc w:val="right"/>
              <w:ind w:right="847"/>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(830)</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1,612</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tcPr>
          <w:p>
            <w:pPr>
              <w:spacing w:after="0"/>
              <w:rPr>
                <w:sz w:val="18"/>
                <w:szCs w:val="18"/>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43</w:t>
            </w:r>
          </w:p>
        </w:tc>
        <w:tc>
          <w:tcPr>
            <w:tcW w:w="1060" w:type="dxa"/>
            <w:vAlign w:val="bottom"/>
          </w:tcPr>
          <w:p>
            <w:pPr>
              <w:spacing w:after="0"/>
              <w:rPr>
                <w:sz w:val="18"/>
                <w:szCs w:val="18"/>
                <w:color w:val="auto"/>
              </w:rPr>
            </w:pP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161</w:t>
            </w:r>
          </w:p>
        </w:tc>
        <w:tc>
          <w:tcPr>
            <w:tcW w:w="360" w:type="dxa"/>
            <w:vAlign w:val="bottom"/>
          </w:tcPr>
          <w:p>
            <w:pPr>
              <w:spacing w:after="0"/>
              <w:rPr>
                <w:sz w:val="18"/>
                <w:szCs w:val="18"/>
                <w:color w:val="auto"/>
              </w:rPr>
            </w:pPr>
          </w:p>
        </w:tc>
        <w:tc>
          <w:tcPr>
            <w:tcW w:w="12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413</w:t>
            </w: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-543560</wp:posOffset>
            </wp:positionV>
            <wp:extent cx="673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-543560</wp:posOffset>
            </wp:positionV>
            <wp:extent cx="673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-543560</wp:posOffset>
            </wp:positionV>
            <wp:extent cx="673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right="80" w:firstLine="316"/>
        <w:spacing w:after="0" w:line="289" w:lineRule="auto"/>
        <w:rPr>
          <w:sz w:val="20"/>
          <w:szCs w:val="20"/>
          <w:color w:val="auto"/>
        </w:rPr>
      </w:pPr>
      <w:r>
        <w:rPr>
          <w:rFonts w:ascii="Times New Roman" w:cs="Times New Roman" w:eastAsia="Times New Roman" w:hAnsi="Times New Roman"/>
          <w:sz w:val="16"/>
          <w:szCs w:val="16"/>
          <w:color w:val="auto"/>
        </w:rPr>
        <w:t>Beginning in fiscal year 2023, the 2017 Act requires us to capitalize and amortize R&amp;D expenses rather than expensing them in the year incurred. The tax effects related to the capitalization of R&amp;D expenses are included in the effective tax rate for the three and nine months ended March 31, 2023, but did not have a material impact on our effective tax rate. The primary drivers of the difference between the effective tax rate for the three and nine months ended March 31, 2023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w:t>
      </w:r>
    </w:p>
    <w:p>
      <w:pPr>
        <w:spacing w:after="0" w:line="185"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primary drivers of the difference between the effective tax rate for the three and nine months ended April 1, 2022 and the U.S. Federal statutory rate of 21% are the relative mix of earnings and losses by jurisdiction, the deduction for foreign derived intangible income, credits, and tax holidays in Malaysia, the Philippines and Thailand that will expire at various dates during fiscal years 2024 through 2031. In addition, the effective tax rate for the three and nine months ended April 1, 2022 includes the discrete effect of a net increase to the liability for unrecognized tax benefits, which includes interest and offsetting tax benefits, as a result of settlement discussions with various tax authorities of $194 million and $219 million, respectively.</w:t>
      </w:r>
    </w:p>
    <w:p>
      <w:pPr>
        <w:spacing w:after="0" w:line="201" w:lineRule="exact"/>
        <w:rPr>
          <w:sz w:val="20"/>
          <w:szCs w:val="20"/>
          <w:color w:val="auto"/>
        </w:rPr>
      </w:pPr>
    </w:p>
    <w:p>
      <w:pPr>
        <w:ind w:right="60" w:firstLine="316"/>
        <w:spacing w:after="0" w:line="235" w:lineRule="auto"/>
        <w:rPr>
          <w:sz w:val="20"/>
          <w:szCs w:val="20"/>
          <w:color w:val="auto"/>
        </w:rPr>
      </w:pPr>
      <w:r>
        <w:rPr>
          <w:rFonts w:ascii="Times New Roman" w:cs="Times New Roman" w:eastAsia="Times New Roman" w:hAnsi="Times New Roman"/>
          <w:sz w:val="18"/>
          <w:szCs w:val="18"/>
          <w:color w:val="auto"/>
        </w:rPr>
        <w:t>Our future effective tax rate is subject to future regulatory developments and changes in the mix of our U.S. earnings compared to foreign earnings. The 2017 Act requires us to capitalize and amortize R&amp;D expenses rather than expensing them in the year incurred. As described above, these capitalized expenses are included in our effective tax rate for the three and nine months ended March 31, 2023, but did not have a material impact on the effective tax rate in those periods due to our reduced profitability. Mandatory capitalization of R&amp;D is expected to materially increase our effective tax rate and taxes paid in future periods, if not repealed or otherwise modified. In addition, our total tax expense in future years may also vary as a result of discrete items such as excess tax benefits or deficiencies.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ind w:right="520" w:firstLine="316"/>
        <w:spacing w:after="0" w:line="256"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480" w:type="dxa"/>
            <w:vAlign w:val="bottom"/>
            <w:gridSpan w:val="4"/>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27"/>
        </w:trPr>
        <w:tc>
          <w:tcPr>
            <w:tcW w:w="828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1"/>
                <w:szCs w:val="11"/>
                <w:color w:val="auto"/>
              </w:rPr>
            </w:pPr>
          </w:p>
        </w:tc>
      </w:tr>
      <w:tr>
        <w:trPr>
          <w:trHeight w:val="191"/>
        </w:trPr>
        <w:tc>
          <w:tcPr>
            <w:tcW w:w="8280" w:type="dxa"/>
            <w:vAlign w:val="bottom"/>
          </w:tcPr>
          <w:p>
            <w:pPr>
              <w:spacing w:after="0"/>
              <w:rPr>
                <w:sz w:val="16"/>
                <w:szCs w:val="16"/>
                <w:color w:val="auto"/>
              </w:rPr>
            </w:pPr>
          </w:p>
        </w:tc>
        <w:tc>
          <w:tcPr>
            <w:tcW w:w="10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190"/>
        </w:trPr>
        <w:tc>
          <w:tcPr>
            <w:tcW w:w="8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3"/>
          </w:tcPr>
          <w:p>
            <w:pPr>
              <w:jc w:val="right"/>
              <w:ind w:right="585"/>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6"/>
                <w:szCs w:val="16"/>
                <w:color w:val="auto"/>
              </w:rPr>
            </w:pP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40" w:type="dxa"/>
            <w:vAlign w:val="bottom"/>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(340)</w:t>
            </w:r>
          </w:p>
        </w:tc>
        <w:tc>
          <w:tcPr>
            <w:tcW w:w="100" w:type="dxa"/>
            <w:vAlign w:val="bottom"/>
          </w:tcPr>
          <w:p>
            <w:pPr>
              <w:spacing w:after="0"/>
              <w:rPr>
                <w:sz w:val="18"/>
                <w:szCs w:val="18"/>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1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09"/>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(1,623)</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4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(107)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0"/>
        </w:trPr>
        <w:tc>
          <w:tcPr>
            <w:tcW w:w="8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6158865</wp:posOffset>
            </wp:positionH>
            <wp:positionV relativeFrom="paragraph">
              <wp:posOffset>-979170</wp:posOffset>
            </wp:positionV>
            <wp:extent cx="673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78" w:lineRule="exact"/>
        <w:rPr>
          <w:sz w:val="20"/>
          <w:szCs w:val="20"/>
          <w:color w:val="auto"/>
        </w:rPr>
      </w:pPr>
    </w:p>
    <w:p>
      <w:pPr>
        <w:ind w:right="20" w:firstLine="316"/>
        <w:spacing w:after="0" w:line="232" w:lineRule="auto"/>
        <w:rPr>
          <w:sz w:val="20"/>
          <w:szCs w:val="20"/>
          <w:color w:val="auto"/>
        </w:rPr>
      </w:pPr>
      <w:r>
        <w:rPr>
          <w:rFonts w:ascii="Times New Roman" w:cs="Times New Roman" w:eastAsia="Times New Roman" w:hAnsi="Times New Roman"/>
          <w:sz w:val="18"/>
          <w:szCs w:val="18"/>
          <w:color w:val="auto"/>
        </w:rPr>
        <w:t xml:space="preserve">We and the IRS reached a final agreement resolving the statutory notices of deficiency with respect to fiscal years 2008 through 2012 and have tentatively reached a basis for resolving the notices of proposed adjustments with respect to fiscal years 2013 through 2015. We currently expect to pay tax and interest totaling approximately $720 million to $760 million, within the next twelve months, which we expect to be partially offset by reductions to our mandatory deemed repatriation tax obligations and tax savings from interest deductions aggregating to approximately $100 million to $150 million in future years. See Part I, Item 1,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 for further details.</w:t>
      </w:r>
    </w:p>
    <w:p>
      <w:pPr>
        <w:spacing w:after="0" w:line="224" w:lineRule="exact"/>
        <w:rPr>
          <w:sz w:val="20"/>
          <w:szCs w:val="20"/>
          <w:color w:val="auto"/>
        </w:rPr>
      </w:pPr>
    </w:p>
    <w:p>
      <w:pPr>
        <w:ind w:right="240" w:firstLine="316"/>
        <w:spacing w:after="0" w:line="250" w:lineRule="auto"/>
        <w:rPr>
          <w:sz w:val="20"/>
          <w:szCs w:val="20"/>
          <w:color w:val="auto"/>
        </w:rPr>
      </w:pPr>
      <w:r>
        <w:rPr>
          <w:rFonts w:ascii="Times New Roman" w:cs="Times New Roman" w:eastAsia="Times New Roman" w:hAnsi="Times New Roman"/>
          <w:sz w:val="18"/>
          <w:szCs w:val="18"/>
          <w:color w:val="auto"/>
        </w:rPr>
        <w:t>We have an existing shelf registration statement (the “Shelf Registration Statement”) filed with the Securities and Exchange Commission that expires in August 2024, which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spacing w:after="0" w:line="214"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As noted previously, we are scaling back on capital expenditures and consolidating production lines and reducing bit growth to align with market demand. We have reduced our expected expenditures for property, plant and equipment for our company plus our portion of the capital expenditures by our Flash Ventures joint venture with Kioxia for its operations to $2.2 billion for 2023. After consideration of the Flash Ventures’ lease financing of its capital expenditures and net operating cash flow, we have reduced the expected net cash used for our purchases of property, plant and equipment and net activity in notes receivable relating to Flash Ventures to $800 million during 2023. The total expected cash to be used could vary depending on the timing and completion of various capital projects and the availability, timing and terms of related financing</w:t>
      </w:r>
      <w:r>
        <w:rPr>
          <w:rFonts w:ascii="Times New Roman" w:cs="Times New Roman" w:eastAsia="Times New Roman" w:hAnsi="Times New Roman"/>
          <w:sz w:val="18"/>
          <w:szCs w:val="18"/>
          <w:color w:val="7030A0"/>
        </w:rPr>
        <w:t>.</w:t>
      </w:r>
    </w:p>
    <w:p>
      <w:pPr>
        <w:spacing w:after="0" w:line="255" w:lineRule="exact"/>
        <w:rPr>
          <w:sz w:val="20"/>
          <w:szCs w:val="20"/>
          <w:color w:val="auto"/>
        </w:rPr>
      </w:pPr>
    </w:p>
    <w:p>
      <w:pPr>
        <w:jc w:val="both"/>
        <w:ind w:right="60" w:firstLine="316"/>
        <w:spacing w:after="0" w:line="279" w:lineRule="auto"/>
        <w:rPr>
          <w:sz w:val="20"/>
          <w:szCs w:val="20"/>
          <w:color w:val="auto"/>
        </w:rPr>
      </w:pPr>
      <w:r>
        <w:rPr>
          <w:rFonts w:ascii="Times New Roman" w:cs="Times New Roman" w:eastAsia="Times New Roman" w:hAnsi="Times New Roman"/>
          <w:sz w:val="16"/>
          <w:szCs w:val="16"/>
          <w:color w:val="auto"/>
        </w:rPr>
        <w:t>We believe our cash, and cash equivalents including the proceeds from the issuance of our Series A Preferred Stock as discussed in “Key Developments - Financing Activities,” as well as our available credit facilities, including the availability under our new delayed term loan agreement, will be sufficient to meet our working capital, debt and capital expenditure needs for at least the next twelve months and for the foreseeable future thereafter, as we navigate the current market downturn before returning to profitable operations and positive cash flows when the market normalizes. We believe we can also access the various debt capital markets to further supplement our liquidity position if necessary. Our ability to sustain our working capital position is subject to a number of risks that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discuss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in our Annual Report on Form 10-K for the year ended July 1, 2022.</w:t>
      </w:r>
    </w:p>
    <w:p>
      <w:pPr>
        <w:spacing w:after="0" w:line="229" w:lineRule="exact"/>
        <w:rPr>
          <w:sz w:val="20"/>
          <w:szCs w:val="20"/>
          <w:color w:val="auto"/>
        </w:rPr>
      </w:pPr>
    </w:p>
    <w:p>
      <w:pPr>
        <w:ind w:right="320" w:firstLine="316"/>
        <w:spacing w:after="0" w:line="269" w:lineRule="auto"/>
        <w:rPr>
          <w:sz w:val="20"/>
          <w:szCs w:val="20"/>
          <w:color w:val="auto"/>
        </w:rPr>
      </w:pPr>
      <w:r>
        <w:rPr>
          <w:rFonts w:ascii="Times New Roman" w:cs="Times New Roman" w:eastAsia="Times New Roman" w:hAnsi="Times New Roman"/>
          <w:sz w:val="18"/>
          <w:szCs w:val="18"/>
          <w:color w:val="auto"/>
        </w:rPr>
        <w:t>A total of $1.86 billion and $1.82 billion of our Cash and cash equivalents was held by our foreign subsidiaries as of March 31, 2023 and July 1, 2022, respectively. There are no material tax consequences that were not previously accrued for on the repatriation of this cash.</w:t>
      </w:r>
    </w:p>
    <w:p>
      <w:pPr>
        <w:spacing w:after="0" w:line="195" w:lineRule="exact"/>
        <w:rPr>
          <w:sz w:val="20"/>
          <w:szCs w:val="20"/>
          <w:color w:val="auto"/>
        </w:rPr>
      </w:pPr>
    </w:p>
    <w:p>
      <w:pPr>
        <w:ind w:right="460" w:firstLine="316"/>
        <w:spacing w:after="0" w:line="333" w:lineRule="auto"/>
        <w:rPr>
          <w:sz w:val="20"/>
          <w:szCs w:val="20"/>
          <w:color w:val="auto"/>
        </w:rPr>
      </w:pPr>
      <w:r>
        <w:rPr>
          <w:rFonts w:ascii="Times New Roman" w:cs="Times New Roman" w:eastAsia="Times New Roman" w:hAnsi="Times New Roman"/>
          <w:sz w:val="16"/>
          <w:szCs w:val="16"/>
          <w:color w:val="auto"/>
        </w:rPr>
        <w:t>Our cash equivalents are primarily invested in money market funds that invest in U.S. Treasury securities and U.S. Government agency securities. In addition, from time to time, we also invest directly in certificates of deposit, asset backed securities and corporate and municipal notes and bonds.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43"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Net cash provided by or used in operating activities primarily consists of net income or loss, adjusted for non-cash charges, plus or minus changes in operating assets and liabilities. Net cash used for changes in operating assets and liabilities was $298 million for the nine months ended March 31, 2023, as compared to $674 million for the nine months ended April 1, 2022, which largely reflects the reduction in volume of our business. Changes in our operating assets and liabilities are largely affected by our working capital requirements, which are dependent on our volume of business and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1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80" w:type="dxa"/>
            <w:vAlign w:val="bottom"/>
          </w:tcPr>
          <w:p>
            <w:pPr>
              <w:spacing w:after="0"/>
              <w:rPr>
                <w:sz w:val="12"/>
                <w:szCs w:val="12"/>
                <w:color w:val="auto"/>
              </w:rPr>
            </w:pPr>
          </w:p>
        </w:tc>
        <w:tc>
          <w:tcPr>
            <w:tcW w:w="1060" w:type="dxa"/>
            <w:vAlign w:val="bottom"/>
            <w:tcBorders>
              <w:top w:val="single" w:sz="8" w:color="auto"/>
            </w:tcBorders>
          </w:tcPr>
          <w:p>
            <w:pPr>
              <w:ind w:left="40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404"/>
              <w:spacing w:after="0" w:line="147"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1"/>
        </w:trPr>
        <w:tc>
          <w:tcPr>
            <w:tcW w:w="9340" w:type="dxa"/>
            <w:vAlign w:val="bottom"/>
            <w:gridSpan w:val="2"/>
          </w:tcPr>
          <w:p>
            <w:pPr>
              <w:ind w:left="88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sales outstanding</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Days in inventory</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6"/>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conversion cycle</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8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0" w:firstLine="316"/>
        <w:spacing w:after="0" w:line="250" w:lineRule="auto"/>
        <w:rPr>
          <w:sz w:val="20"/>
          <w:szCs w:val="20"/>
          <w:color w:val="auto"/>
        </w:rPr>
      </w:pPr>
      <w:r>
        <w:rPr>
          <w:rFonts w:ascii="Times New Roman" w:cs="Times New Roman" w:eastAsia="Times New Roman" w:hAnsi="Times New Roman"/>
          <w:sz w:val="18"/>
          <w:szCs w:val="18"/>
          <w:color w:val="auto"/>
        </w:rPr>
        <w:t>Changes in days sales outstanding (“DSO”) are generally due to the timing of shipments. Changes in days in inventory (“DIO”) are generally related to the timing of inventory builds, including staging of inventory to meet expected future demand. Changes in days payables outstanding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4" w:lineRule="exact"/>
        <w:rPr>
          <w:sz w:val="20"/>
          <w:szCs w:val="20"/>
          <w:color w:val="auto"/>
        </w:rPr>
      </w:pPr>
    </w:p>
    <w:p>
      <w:pPr>
        <w:ind w:right="140" w:firstLine="316"/>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2023, DSO increased by 3 days from the comparable period in the prior year, primarily reflecting the timing of shipments and customer collections. DIO increased by 40 days from the comparable period in the prior year primarily reflecting a decline in products shipped in light of the current market environment. DPO decreased by 6 days from the comparable period in the prior year primarily due to reductions in capital expenditures and routine variations in the timing of purchases and payments during the period.</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3" w:lineRule="exact"/>
        <w:rPr>
          <w:sz w:val="20"/>
          <w:szCs w:val="20"/>
          <w:color w:val="auto"/>
        </w:rPr>
      </w:pPr>
    </w:p>
    <w:p>
      <w:pPr>
        <w:ind w:firstLine="316"/>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March 31, 2023 primarily consisted of $688 million in capital expenditures, net of disposals, partially offset by a $46 million net decrease in notes receivable issuances to Flash Ventures. Net cash used in investing activities for the nine months ended April 1, 2022 primarily consisted of $829 million in capital expenditures, net of disposals, partially offset by a $23 million net decrease in notes receivable issuances to Flash Ventures.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30" w:lineRule="exact"/>
        <w:rPr>
          <w:sz w:val="20"/>
          <w:szCs w:val="20"/>
          <w:color w:val="auto"/>
        </w:rPr>
      </w:pPr>
    </w:p>
    <w:p>
      <w:pPr>
        <w:ind w:right="40" w:firstLine="316"/>
        <w:spacing w:after="0" w:line="232" w:lineRule="auto"/>
        <w:rPr>
          <w:sz w:val="20"/>
          <w:szCs w:val="20"/>
          <w:color w:val="auto"/>
        </w:rPr>
      </w:pPr>
      <w:r>
        <w:rPr>
          <w:rFonts w:ascii="Times New Roman" w:cs="Times New Roman" w:eastAsia="Times New Roman" w:hAnsi="Times New Roman"/>
          <w:sz w:val="18"/>
          <w:szCs w:val="18"/>
          <w:color w:val="auto"/>
        </w:rPr>
        <w:t>During the nine months ended March 31, 2023, net cash provided by financing activities primarily consisted of $882 million from issuance of the Series A Preferred Stock and $49 million from the issuance of stock under employee stock plans, partially offset by $69 million used for taxes paid on vested stock awards under employee stock plans. In addition, we drew and repaid $1.18 billion under our revolving credit facility within the period. Cash used in financing activities for the nine months ended April 1, 2022 primarily consisted of $3.47 billion for repayment of debt, as well as $85 million for taxes paid on vested stock awards under employee stock plans offset by net proceeds of $1.89 billion from the issuance of new debt, and $62 million from the issuance of stock under employee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3" w:lineRule="exact"/>
        <w:rPr>
          <w:sz w:val="20"/>
          <w:szCs w:val="20"/>
          <w:color w:val="auto"/>
        </w:rPr>
      </w:pPr>
    </w:p>
    <w:p>
      <w:pPr>
        <w:ind w:firstLine="316"/>
        <w:spacing w:after="0" w:line="248" w:lineRule="auto"/>
        <w:rPr>
          <w:sz w:val="20"/>
          <w:szCs w:val="20"/>
          <w:color w:val="auto"/>
        </w:rPr>
      </w:pPr>
      <w:r>
        <w:rPr>
          <w:rFonts w:ascii="Times New Roman" w:cs="Times New Roman" w:eastAsia="Times New Roman" w:hAnsi="Times New Roman"/>
          <w:sz w:val="18"/>
          <w:szCs w:val="18"/>
          <w:color w:val="auto"/>
        </w:rPr>
        <w:t xml:space="preserve">Other than the commitments related to Flash Ventures incurred in the normal course of business and certain indemnification provisions (see “Short and Long-term Liquidity-Purchase Obligations and Other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with the exception of Flash Ventures and our joint venture with Unisplendour Corporation Limited and Unissoft (Wuxi) Group Co. Ltd., we do not have an interest in, or relationships with, any variable interest entities. For additional information regarding our off-balance sheet arrangements, see Part I, Item 1,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30" w:lineRule="exact"/>
        <w:rPr>
          <w:sz w:val="20"/>
          <w:szCs w:val="20"/>
          <w:color w:val="auto"/>
        </w:rPr>
      </w:pPr>
    </w:p>
    <w:p>
      <w:pPr>
        <w:ind w:right="520" w:firstLine="316"/>
        <w:spacing w:after="0" w:line="254" w:lineRule="auto"/>
        <w:rPr>
          <w:sz w:val="20"/>
          <w:szCs w:val="20"/>
          <w:color w:val="auto"/>
        </w:rPr>
      </w:pPr>
      <w:r>
        <w:rPr>
          <w:rFonts w:ascii="Times New Roman" w:cs="Times New Roman" w:eastAsia="Times New Roman" w:hAnsi="Times New Roman"/>
          <w:sz w:val="18"/>
          <w:szCs w:val="18"/>
          <w:color w:val="auto"/>
        </w:rPr>
        <w:t>In addition to cash requirements for unrecognized tax benefits and dividend rights with respect to the Series A Preferred Stock discussed below, the following is a summary of our known material cash requirements, including those for capital expenditures, as of March 31, 2023:</w:t>
      </w: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1 Year (Remaining</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2-3 Years (2024-</w:t>
            </w: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 (2026-</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Three Months of</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2025)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(Beyond 2027)</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60" w:type="dxa"/>
            <w:vAlign w:val="bottom"/>
            <w:gridSpan w:val="2"/>
            <w:shd w:val="clear" w:color="auto" w:fill="CCEEFF"/>
          </w:tcPr>
          <w:p>
            <w:pPr>
              <w:ind w:left="20"/>
              <w:spacing w:after="0" w:line="217" w:lineRule="exact"/>
              <w:rPr>
                <w:sz w:val="20"/>
                <w:szCs w:val="20"/>
                <w:color w:val="auto"/>
              </w:rPr>
            </w:pPr>
            <w:r>
              <w:rPr>
                <w:rFonts w:ascii="Times New Roman" w:cs="Times New Roman" w:eastAsia="Times New Roman" w:hAnsi="Times New Roman"/>
                <w:sz w:val="16"/>
                <w:szCs w:val="16"/>
                <w:color w:val="auto"/>
              </w:rPr>
              <w:t>Long-term debt, including current portion</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0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on debt</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4760" w:type="dxa"/>
            <w:vAlign w:val="bottom"/>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Flash Ventures related commitments</w:t>
            </w:r>
            <w:r>
              <w:rPr>
                <w:rFonts w:ascii="Times New Roman" w:cs="Times New Roman" w:eastAsia="Times New Roman" w:hAnsi="Times New Roman"/>
                <w:sz w:val="20"/>
                <w:szCs w:val="20"/>
                <w:color w:val="auto"/>
                <w:vertAlign w:val="superscript"/>
              </w:rPr>
              <w:t>(2)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obligations and other commitments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9"/>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Mandatory Deemed Repatriation Tax</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5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6268085</wp:posOffset>
            </wp:positionH>
            <wp:positionV relativeFrom="paragraph">
              <wp:posOffset>-1196975</wp:posOffset>
            </wp:positionV>
            <wp:extent cx="673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-1196975</wp:posOffset>
            </wp:positionV>
            <wp:extent cx="673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-1196975</wp:posOffset>
            </wp:positionV>
            <wp:extent cx="6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-1196975</wp:posOffset>
            </wp:positionV>
            <wp:extent cx="673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44" w:lineRule="exact"/>
        <w:rPr>
          <w:sz w:val="20"/>
          <w:szCs w:val="20"/>
          <w:color w:val="auto"/>
        </w:rPr>
      </w:pPr>
    </w:p>
    <w:p>
      <w:pPr>
        <w:ind w:left="300" w:hanging="294"/>
        <w:spacing w:after="0"/>
        <w:tabs>
          <w:tab w:leader="none" w:pos="3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portion of debt, excluding discounts and issuance costs.</w:t>
      </w:r>
    </w:p>
    <w:p>
      <w:pPr>
        <w:spacing w:after="0" w:line="2" w:lineRule="exact"/>
        <w:rPr>
          <w:rFonts w:ascii="Times New Roman" w:cs="Times New Roman" w:eastAsia="Times New Roman" w:hAnsi="Times New Roman"/>
          <w:sz w:val="23"/>
          <w:szCs w:val="23"/>
          <w:color w:val="auto"/>
          <w:vertAlign w:val="superscript"/>
        </w:rPr>
      </w:pPr>
    </w:p>
    <w:p>
      <w:pPr>
        <w:ind w:left="320" w:right="60" w:hanging="314"/>
        <w:spacing w:after="0" w:line="223"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payments for other committed expenses, including R&amp;D and building depreciation. Funding commitments assume no additional operating lease guarantees. Additional operating lease guarantees can reduce funding commitments.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30" w:lineRule="exact"/>
        <w:rPr>
          <w:sz w:val="20"/>
          <w:szCs w:val="20"/>
          <w:color w:val="auto"/>
        </w:rPr>
      </w:pPr>
    </w:p>
    <w:p>
      <w:pPr>
        <w:ind w:right="80" w:firstLine="316"/>
        <w:spacing w:after="0" w:line="236" w:lineRule="auto"/>
        <w:rPr>
          <w:sz w:val="20"/>
          <w:szCs w:val="20"/>
          <w:color w:val="auto"/>
        </w:rPr>
      </w:pPr>
      <w:r>
        <w:rPr>
          <w:rFonts w:ascii="Times New Roman" w:cs="Times New Roman" w:eastAsia="Times New Roman" w:hAnsi="Times New Roman"/>
          <w:sz w:val="18"/>
          <w:szCs w:val="18"/>
          <w:color w:val="auto"/>
        </w:rPr>
        <w:t xml:space="preserve">On January 31, 2023, we issued an aggregate of 900,000 shares of Series A Preferred Stock for an aggregate purchase price of $900 million. These shares are entitled to cumulative preferred dividends. See Part I, Item 1, Note 12, </w:t>
      </w:r>
      <w:r>
        <w:rPr>
          <w:rFonts w:ascii="Times New Roman" w:cs="Times New Roman" w:eastAsia="Times New Roman" w:hAnsi="Times New Roman"/>
          <w:sz w:val="18"/>
          <w:szCs w:val="18"/>
          <w:i w:val="1"/>
          <w:iCs w:val="1"/>
          <w:color w:val="auto"/>
        </w:rPr>
        <w:t>Shareholders’ Equity and Convertible Preferred Stock</w:t>
      </w:r>
      <w:r>
        <w:rPr>
          <w:rFonts w:ascii="Times New Roman" w:cs="Times New Roman" w:eastAsia="Times New Roman" w:hAnsi="Times New Roman"/>
          <w:sz w:val="18"/>
          <w:szCs w:val="18"/>
          <w:color w:val="auto"/>
        </w:rPr>
        <w:t>, of the Notes to Condensed Consolidated Financial Statements included in this Quarterly Report on Form 10-Q for more information regarding the dividend provisions.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30" w:lineRule="exact"/>
        <w:rPr>
          <w:sz w:val="20"/>
          <w:szCs w:val="20"/>
          <w:color w:val="auto"/>
        </w:rPr>
      </w:pPr>
    </w:p>
    <w:p>
      <w:pPr>
        <w:ind w:right="40" w:firstLine="316"/>
        <w:spacing w:after="0" w:line="268" w:lineRule="auto"/>
        <w:rPr>
          <w:sz w:val="20"/>
          <w:szCs w:val="20"/>
          <w:color w:val="auto"/>
        </w:rPr>
      </w:pPr>
      <w:r>
        <w:rPr>
          <w:rFonts w:ascii="Times New Roman" w:cs="Times New Roman" w:eastAsia="Times New Roman" w:hAnsi="Times New Roman"/>
          <w:sz w:val="16"/>
          <w:szCs w:val="16"/>
          <w:color w:val="auto"/>
        </w:rPr>
        <w:t>In addition to our existing debt, as of March 31, 2023, we had $2.25 billion available for borrowing under our revolving credit facility until January 2027, subject to customary conditions under the loan agreement. Furthermore, we entered into a delayed draw term loan agreement as noted in “Key Developments - Financing Activities” which provides us with an additional $875 million unsecured term loan available to borrow through June 30, 2023, subject to customary conditions and certain financial covenants under the loan agreement. The agreements governing these credit facilities each include limits on secured indebtedness and certain types of unsecured subsidiary indebtedness and require certain of our subsidiaries to provide guarantees to the extent the conditions</w:t>
      </w:r>
    </w:p>
    <w:p>
      <w:pPr>
        <w:spacing w:after="0" w:line="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 xml:space="preserve">providing for such guarantees are met. Additional information regarding our indebtedness, including information about principal repayment terms, interest rates, covenants and other key terms of our outstanding indebtedness, is included in Part II, Item 8,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included in our Annual Report on Form 10-K for the year ended July 1, 2022. Our delayed draw term loan agreement and the loan agreement governing our revolving credit facility and our Term Loan A-2 due 2027 require us to comply with a leverage ratio financial covenant. As of March 31, 2023, we were in compliance with the applicable financial covenant.</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43"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or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March 31, 2023, we were in compliance with all covenants under these Japanese lease facilities. See Part I, Item 1,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of the Notes to Condensed Consolidated Financial Statements included in this Quarterly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10-Q for information regarding Flash Ventures.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Purchase Obligations and Other Commitments</w:t>
      </w:r>
    </w:p>
    <w:p>
      <w:pPr>
        <w:spacing w:after="0" w:line="243" w:lineRule="exact"/>
        <w:rPr>
          <w:sz w:val="20"/>
          <w:szCs w:val="20"/>
          <w:color w:val="auto"/>
        </w:rPr>
      </w:pPr>
    </w:p>
    <w:p>
      <w:pPr>
        <w:ind w:right="280" w:firstLine="316"/>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Mandatory Deemed Repatriation Tax</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estimated mandatory deemed repatriation tax obligations that are payable in the following years: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1"/>
        </w:trPr>
        <w:tc>
          <w:tcPr>
            <w:tcW w:w="9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0"/>
        </w:trPr>
        <w:tc>
          <w:tcPr>
            <w:tcW w:w="9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5"/>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r>
      <w:tr>
        <w:trPr>
          <w:trHeight w:val="217"/>
        </w:trPr>
        <w:tc>
          <w:tcPr>
            <w:tcW w:w="9800" w:type="dxa"/>
            <w:vAlign w:val="bottom"/>
            <w:shd w:val="clear" w:color="auto" w:fill="CCEEFF"/>
          </w:tcPr>
          <w:p>
            <w:pPr>
              <w:jc w:val="right"/>
              <w:ind w:right="9381"/>
              <w:spacing w:after="0"/>
              <w:rPr>
                <w:sz w:val="20"/>
                <w:szCs w:val="20"/>
                <w:color w:val="auto"/>
              </w:rPr>
            </w:pPr>
            <w:r>
              <w:rPr>
                <w:rFonts w:ascii="Times New Roman" w:cs="Times New Roman" w:eastAsia="Times New Roman" w:hAnsi="Times New Roman"/>
                <w:sz w:val="16"/>
                <w:szCs w:val="16"/>
                <w:color w:val="auto"/>
                <w:w w:val="99"/>
              </w:rPr>
              <w:t>2024</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9"/>
        </w:trPr>
        <w:tc>
          <w:tcPr>
            <w:tcW w:w="9800" w:type="dxa"/>
            <w:vAlign w:val="bottom"/>
          </w:tcPr>
          <w:p>
            <w:pPr>
              <w:jc w:val="right"/>
              <w:ind w:right="9381"/>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1"/>
        </w:trPr>
        <w:tc>
          <w:tcPr>
            <w:tcW w:w="9800" w:type="dxa"/>
            <w:vAlign w:val="bottom"/>
            <w:shd w:val="clear" w:color="auto" w:fill="CCEEFF"/>
          </w:tcPr>
          <w:p>
            <w:pPr>
              <w:jc w:val="right"/>
              <w:ind w:right="9381"/>
              <w:spacing w:after="0"/>
              <w:rPr>
                <w:sz w:val="20"/>
                <w:szCs w:val="20"/>
                <w:color w:val="auto"/>
              </w:rPr>
            </w:pPr>
            <w:r>
              <w:rPr>
                <w:rFonts w:ascii="Times New Roman" w:cs="Times New Roman" w:eastAsia="Times New Roman" w:hAnsi="Times New Roman"/>
                <w:sz w:val="16"/>
                <w:szCs w:val="16"/>
                <w:color w:val="auto"/>
                <w:w w:val="99"/>
              </w:rPr>
              <w:t>2026</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6"/>
        </w:trPr>
        <w:tc>
          <w:tcPr>
            <w:tcW w:w="9800" w:type="dxa"/>
            <w:vAlign w:val="bottom"/>
          </w:tcPr>
          <w:p>
            <w:pPr>
              <w:jc w:val="right"/>
              <w:ind w:right="9261"/>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160" w:firstLine="316"/>
        <w:spacing w:after="0" w:line="272" w:lineRule="auto"/>
        <w:rPr>
          <w:sz w:val="20"/>
          <w:szCs w:val="20"/>
          <w:color w:val="auto"/>
        </w:rPr>
      </w:pPr>
      <w:r>
        <w:rPr>
          <w:rFonts w:ascii="Times New Roman" w:cs="Times New Roman" w:eastAsia="Times New Roman" w:hAnsi="Times New Roman"/>
          <w:sz w:val="18"/>
          <w:szCs w:val="18"/>
          <w:color w:val="auto"/>
        </w:rPr>
        <w:t xml:space="preserve">For additional information regarding our estimate of the total tax liability for the mandatory deemed repatriation tax, see Part II, Item 8, Note 13,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Expense</w:t>
      </w:r>
      <w:r>
        <w:rPr>
          <w:rFonts w:ascii="Times New Roman" w:cs="Times New Roman" w:eastAsia="Times New Roman" w:hAnsi="Times New Roman"/>
          <w:sz w:val="18"/>
          <w:szCs w:val="18"/>
          <w:color w:val="auto"/>
        </w:rPr>
        <w:t>, of the Notes to Consolidated Financial Statements included in our Annual Report on Form 10-K for the year ended June 28, 2019.</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43" w:lineRule="exact"/>
        <w:rPr>
          <w:sz w:val="20"/>
          <w:szCs w:val="20"/>
          <w:color w:val="auto"/>
        </w:rPr>
      </w:pPr>
    </w:p>
    <w:p>
      <w:pPr>
        <w:ind w:right="600" w:firstLine="316"/>
        <w:spacing w:after="0" w:line="253" w:lineRule="auto"/>
        <w:rPr>
          <w:sz w:val="20"/>
          <w:szCs w:val="20"/>
          <w:color w:val="auto"/>
        </w:rPr>
      </w:pPr>
      <w:r>
        <w:rPr>
          <w:rFonts w:ascii="Times New Roman" w:cs="Times New Roman" w:eastAsia="Times New Roman" w:hAnsi="Times New Roman"/>
          <w:sz w:val="18"/>
          <w:szCs w:val="18"/>
          <w:color w:val="auto"/>
        </w:rPr>
        <w:t>As of March 31, 2023, the liability for unrecognized tax benefits (excluding accrued interest and penalties) was $1.02 billion. Accrued interest and penalties related to unrecognized tax benefits are recognized in liabilities for uncertain tax positions and are recorded in the provision for income taxes. Accrued interest and penalties included in our liability related to unrecognized tax benefits as of March 31, 2023 was $280 million. Of these amounts, approximately $1.16 billion could result in potential cash payments.</w:t>
      </w:r>
    </w:p>
    <w:p>
      <w:pPr>
        <w:spacing w:after="0" w:line="209" w:lineRule="exact"/>
        <w:rPr>
          <w:sz w:val="20"/>
          <w:szCs w:val="20"/>
          <w:color w:val="auto"/>
        </w:rPr>
      </w:pPr>
    </w:p>
    <w:p>
      <w:pPr>
        <w:ind w:firstLine="316"/>
        <w:spacing w:after="0" w:line="247" w:lineRule="auto"/>
        <w:rPr>
          <w:sz w:val="20"/>
          <w:szCs w:val="20"/>
          <w:color w:val="auto"/>
        </w:rPr>
      </w:pPr>
      <w:r>
        <w:rPr>
          <w:rFonts w:ascii="Times New Roman" w:cs="Times New Roman" w:eastAsia="Times New Roman" w:hAnsi="Times New Roman"/>
          <w:sz w:val="18"/>
          <w:szCs w:val="18"/>
          <w:color w:val="auto"/>
        </w:rPr>
        <w:t>As previously disclosed, the IRS issued statutory notices of deficiency and notices of proposed adjustments with respect to transfer pricing with our foreign subsidiaries and intercompany payable balances for years 2008 through 2015. We and the IRS reached an agreement on the federal tax and interest calculations with respect to years 2008 through 2012 for which we expect to pay tax and interest totaling approximately $620 million to $650 million within the next twelve months. We and the IRS have also reached a tentative settlement for the years 2013 through 2015 for which we expect to pay tax and interest totaling approximately $100 million to $110 million. We are uncertain as to when a final agreement for years 2013 through 2015 will be reached and the exact timing of when these payments will be made. However, we believe it is reasonably likely that these payments may be made within the next twelve months and have classified that portion of these unrecognized tax benefits, including interest, in Income taxes payable on our Condensed Consolidated Balance Sheets as of March 31, 2023. This classification and amount may be subject to change in the next twelve months depending on when we are able to reach a final agreement with the IRS. In connection with these settlements, we expect to realize reductions to our mandatory deemed repatriation tax obligations and tax savings from interest deductions aggregating to approximately $100 million to $150 million in future years.</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Mandatory Research and Development Expense Capitalization</w:t>
      </w:r>
    </w:p>
    <w:p>
      <w:pPr>
        <w:spacing w:after="0" w:line="243" w:lineRule="exact"/>
        <w:rPr>
          <w:sz w:val="20"/>
          <w:szCs w:val="20"/>
          <w:color w:val="auto"/>
        </w:rPr>
      </w:pPr>
    </w:p>
    <w:p>
      <w:pPr>
        <w:ind w:right="120" w:firstLine="316"/>
        <w:spacing w:after="0" w:line="269" w:lineRule="auto"/>
        <w:rPr>
          <w:sz w:val="20"/>
          <w:szCs w:val="20"/>
          <w:color w:val="auto"/>
        </w:rPr>
      </w:pPr>
      <w:r>
        <w:rPr>
          <w:rFonts w:ascii="Times New Roman" w:cs="Times New Roman" w:eastAsia="Times New Roman" w:hAnsi="Times New Roman"/>
          <w:sz w:val="18"/>
          <w:szCs w:val="18"/>
          <w:color w:val="auto"/>
        </w:rPr>
        <w:t>Beginning in 2023, the 2017 Act requires us to capitalize and amortize R&amp;D expenses rather than expensing them in the year incurred, which is expected to result in materially higher cash tax payments in future periods, if not repealed or otherwise modified.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43" w:lineRule="exact"/>
        <w:rPr>
          <w:sz w:val="20"/>
          <w:szCs w:val="20"/>
          <w:color w:val="auto"/>
        </w:rPr>
      </w:pPr>
    </w:p>
    <w:p>
      <w:pPr>
        <w:ind w:right="100" w:firstLine="316"/>
        <w:spacing w:after="0" w:line="257"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included in this Quarterly Report on Form 10-Q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43"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215" w:lineRule="exact"/>
        <w:rPr>
          <w:sz w:val="20"/>
          <w:szCs w:val="20"/>
          <w:color w:val="auto"/>
        </w:rPr>
      </w:pPr>
    </w:p>
    <w:p>
      <w:pPr>
        <w:jc w:val="both"/>
        <w:ind w:right="200" w:firstLine="316"/>
        <w:spacing w:after="0" w:line="257"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43" w:lineRule="exact"/>
        <w:rPr>
          <w:sz w:val="20"/>
          <w:szCs w:val="20"/>
          <w:color w:val="auto"/>
        </w:rPr>
      </w:pPr>
    </w:p>
    <w:p>
      <w:pPr>
        <w:ind w:right="20" w:firstLine="316"/>
        <w:spacing w:after="0" w:line="249" w:lineRule="auto"/>
        <w:rPr>
          <w:sz w:val="20"/>
          <w:szCs w:val="20"/>
          <w:color w:val="auto"/>
        </w:rPr>
      </w:pPr>
      <w:r>
        <w:rPr>
          <w:rFonts w:ascii="Times New Roman" w:cs="Times New Roman" w:eastAsia="Times New Roman" w:hAnsi="Times New Roman"/>
          <w:sz w:val="18"/>
          <w:szCs w:val="18"/>
          <w:color w:val="auto"/>
        </w:rPr>
        <w:t>Our Board of Directors has authorized a stock repurchase program for the repurchase of up to $5.0 billion of our common stock, which authorization is effective through July 25, 2023. We did not make any stock repurchases during the nine months ended March 31, 2023 and have not repurchased any shares of our common stock pursuant to our stock repurchase program since the first quarter of fiscal 2019. Although we will reevaluate the repurchasing of our common stock when appropriate, there can be no assurance if, when or at what level we may resume such activity. The remaining amount available to be repurchased under our current stock repurchase program as of March 31, 2023 was $4.5 billion. Repurchases under the stock repurchase program may be made in the open market or in privately negotiated transactions and may be made under a Rule 10b5-1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20" w:firstLine="316"/>
        <w:spacing w:after="0" w:line="257"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ind w:firstLine="316"/>
        <w:spacing w:after="0" w:line="294" w:lineRule="auto"/>
        <w:rPr>
          <w:sz w:val="20"/>
          <w:szCs w:val="20"/>
          <w:color w:val="auto"/>
        </w:rPr>
      </w:pPr>
      <w:r>
        <w:rPr>
          <w:rFonts w:ascii="Times New Roman" w:cs="Times New Roman" w:eastAsia="Times New Roman" w:hAnsi="Times New Roman"/>
          <w:sz w:val="16"/>
          <w:szCs w:val="16"/>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51" w:lineRule="exact"/>
        <w:rPr>
          <w:sz w:val="20"/>
          <w:szCs w:val="20"/>
          <w:color w:val="auto"/>
        </w:rPr>
      </w:pPr>
    </w:p>
    <w:p>
      <w:pPr>
        <w:ind w:right="60" w:firstLine="316"/>
        <w:spacing w:after="0" w:line="219" w:lineRule="exact"/>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July 1, 2022. Please refer to Part II, Item 7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for the year ended July 1, 2022 for a discussion of our critical accounting policies and estimates. In addition, as disclosed in Part I, Item 1, Note 3, </w:t>
      </w:r>
      <w:r>
        <w:rPr>
          <w:rFonts w:ascii="Times New Roman" w:cs="Times New Roman" w:eastAsia="Times New Roman" w:hAnsi="Times New Roman"/>
          <w:sz w:val="18"/>
          <w:szCs w:val="18"/>
          <w:i w:val="1"/>
          <w:iCs w:val="1"/>
          <w:color w:val="auto"/>
        </w:rPr>
        <w:t>Business Segments, Geographic Information, and Concentrations of Risk</w:t>
      </w:r>
      <w:r>
        <w:rPr>
          <w:rFonts w:ascii="Times New Roman" w:cs="Times New Roman" w:eastAsia="Times New Roman" w:hAnsi="Times New Roman"/>
          <w:sz w:val="18"/>
          <w:szCs w:val="18"/>
          <w:color w:val="auto"/>
        </w:rPr>
        <w:t>, of the Notes to Condensed Consolidated Financial Statements included in this Quarterly Report on Form 10-Q, as of March 31, 2023, our management has performed assessments of goodwill for impairment for both the Flash and HDD reporting units. Please refer to that disclosure for additional information on the judgments and estimates included in our assessments.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45" w:lineRule="exact"/>
        <w:rPr>
          <w:sz w:val="20"/>
          <w:szCs w:val="20"/>
          <w:color w:val="auto"/>
        </w:rPr>
      </w:pPr>
    </w:p>
    <w:p>
      <w:pPr>
        <w:ind w:right="80" w:firstLine="316"/>
        <w:spacing w:after="0" w:line="257" w:lineRule="auto"/>
        <w:rPr>
          <w:sz w:val="20"/>
          <w:szCs w:val="20"/>
          <w:color w:val="auto"/>
        </w:rPr>
      </w:pPr>
      <w:r>
        <w:rPr>
          <w:rFonts w:ascii="Times New Roman" w:cs="Times New Roman" w:eastAsia="Times New Roman" w:hAnsi="Times New Roman"/>
          <w:sz w:val="18"/>
          <w:szCs w:val="18"/>
          <w:color w:val="212529"/>
        </w:rPr>
        <w:t xml:space="preserve">Except as disclosed below, there have been no material changes to our market risk during the </w:t>
      </w:r>
      <w:r>
        <w:rPr>
          <w:rFonts w:ascii="Times New Roman" w:cs="Times New Roman" w:eastAsia="Times New Roman" w:hAnsi="Times New Roman"/>
          <w:sz w:val="18"/>
          <w:szCs w:val="18"/>
          <w:color w:val="000000"/>
        </w:rPr>
        <w:t>nine months ended March 31, 2023</w:t>
      </w:r>
      <w:r>
        <w:rPr>
          <w:rFonts w:ascii="Times New Roman" w:cs="Times New Roman" w:eastAsia="Times New Roman" w:hAnsi="Times New Roman"/>
          <w:sz w:val="18"/>
          <w:szCs w:val="18"/>
          <w:color w:val="212529"/>
        </w:rPr>
        <w:t xml:space="preserve">. See Part II, Item 7A, </w:t>
      </w:r>
      <w:r>
        <w:rPr>
          <w:rFonts w:ascii="Times New Roman" w:cs="Times New Roman" w:eastAsia="Times New Roman" w:hAnsi="Times New Roman"/>
          <w:sz w:val="18"/>
          <w:szCs w:val="18"/>
          <w:i w:val="1"/>
          <w:iCs w:val="1"/>
          <w:color w:val="212529"/>
        </w:rPr>
        <w:t xml:space="preserve">Quantitative and Qualitative Disclosures About Market Risk </w:t>
      </w:r>
      <w:r>
        <w:rPr>
          <w:rFonts w:ascii="Times New Roman" w:cs="Times New Roman" w:eastAsia="Times New Roman" w:hAnsi="Times New Roman"/>
          <w:sz w:val="18"/>
          <w:szCs w:val="18"/>
          <w:color w:val="212529"/>
        </w:rPr>
        <w:t>in our Annual Report on Form 10-K for the year ended July 1, 2022 for further information about</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our exposure to market risk.</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3" w:lineRule="exact"/>
        <w:rPr>
          <w:sz w:val="20"/>
          <w:szCs w:val="20"/>
          <w:color w:val="auto"/>
        </w:rPr>
      </w:pPr>
    </w:p>
    <w:p>
      <w:pPr>
        <w:ind w:right="20" w:firstLine="316"/>
        <w:spacing w:after="0" w:line="284" w:lineRule="auto"/>
        <w:rPr>
          <w:sz w:val="20"/>
          <w:szCs w:val="20"/>
          <w:color w:val="auto"/>
        </w:rPr>
      </w:pPr>
      <w:r>
        <w:rPr>
          <w:rFonts w:ascii="Times New Roman" w:cs="Times New Roman" w:eastAsia="Times New Roman" w:hAnsi="Times New Roman"/>
          <w:sz w:val="16"/>
          <w:szCs w:val="16"/>
          <w:color w:val="auto"/>
        </w:rPr>
        <w:t>Due to macroeconomic changes and volatility experienced in the foreign exchange market recently, we believe sensitivity analysis is more informative in representing the potential impact to the portfolio as a result of market movement. Therefore, we have performed sensitivity analyses as of March 31, 2023 and July 1, 2022 using a modeling technique that measures the change in the fair values arising from a hypothetical 10% adverse moveme</w:t>
      </w:r>
      <w:r>
        <w:rPr>
          <w:rFonts w:ascii="Times New Roman" w:cs="Times New Roman" w:eastAsia="Times New Roman" w:hAnsi="Times New Roman"/>
          <w:sz w:val="16"/>
          <w:szCs w:val="16"/>
          <w:color w:val="212529"/>
        </w:rPr>
        <w:t>nt in the levels of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12529"/>
        </w:rPr>
        <w:t xml:space="preserve">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w:t>
      </w:r>
      <w:r>
        <w:rPr>
          <w:rFonts w:ascii="Times New Roman" w:cs="Times New Roman" w:eastAsia="Times New Roman" w:hAnsi="Times New Roman"/>
          <w:sz w:val="16"/>
          <w:szCs w:val="16"/>
          <w:color w:val="000000"/>
        </w:rPr>
        <w:t xml:space="preserve">March 31, 2023 </w:t>
      </w:r>
      <w:r>
        <w:rPr>
          <w:rFonts w:ascii="Times New Roman" w:cs="Times New Roman" w:eastAsia="Times New Roman" w:hAnsi="Times New Roman"/>
          <w:sz w:val="16"/>
          <w:szCs w:val="16"/>
          <w:color w:val="212529"/>
        </w:rPr>
        <w:t>and July 1, 2022. The sensitivity analyses indicated that a hypothetical 10% adverse movement in foreign currency exchange rates relative to</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12529"/>
        </w:rPr>
        <w:t xml:space="preserve">the U.S. dollar would result in a foreign exchange fair value loss of </w:t>
      </w:r>
      <w:r>
        <w:rPr>
          <w:rFonts w:ascii="Times New Roman" w:cs="Times New Roman" w:eastAsia="Times New Roman" w:hAnsi="Times New Roman"/>
          <w:sz w:val="16"/>
          <w:szCs w:val="16"/>
          <w:color w:val="000000"/>
        </w:rPr>
        <w:t>$294</w:t>
      </w:r>
      <w:r>
        <w:rPr>
          <w:rFonts w:ascii="Times New Roman" w:cs="Times New Roman" w:eastAsia="Times New Roman" w:hAnsi="Times New Roman"/>
          <w:sz w:val="16"/>
          <w:szCs w:val="16"/>
          <w:color w:val="212529"/>
        </w:rPr>
        <w:t xml:space="preserve"> million and $306 million at </w:t>
      </w:r>
      <w:r>
        <w:rPr>
          <w:rFonts w:ascii="Times New Roman" w:cs="Times New Roman" w:eastAsia="Times New Roman" w:hAnsi="Times New Roman"/>
          <w:sz w:val="16"/>
          <w:szCs w:val="16"/>
          <w:color w:val="000000"/>
        </w:rPr>
        <w:t>March 31, 2023</w:t>
      </w:r>
      <w:r>
        <w:rPr>
          <w:rFonts w:ascii="Times New Roman" w:cs="Times New Roman" w:eastAsia="Times New Roman" w:hAnsi="Times New Roman"/>
          <w:sz w:val="16"/>
          <w:szCs w:val="16"/>
          <w:color w:val="212529"/>
        </w:rPr>
        <w:t xml:space="preserve"> and </w:t>
      </w:r>
      <w:r>
        <w:rPr>
          <w:rFonts w:ascii="Times New Roman" w:cs="Times New Roman" w:eastAsia="Times New Roman" w:hAnsi="Times New Roman"/>
          <w:sz w:val="16"/>
          <w:szCs w:val="16"/>
          <w:color w:val="000000"/>
        </w:rPr>
        <w:t>July 1, 2022</w:t>
      </w:r>
      <w:r>
        <w:rPr>
          <w:rFonts w:ascii="Times New Roman" w:cs="Times New Roman" w:eastAsia="Times New Roman" w:hAnsi="Times New Roman"/>
          <w:sz w:val="16"/>
          <w:szCs w:val="16"/>
          <w:color w:val="212529"/>
        </w:rPr>
        <w:t>, respectively.</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3" w:lineRule="exact"/>
        <w:rPr>
          <w:sz w:val="20"/>
          <w:szCs w:val="20"/>
          <w:color w:val="auto"/>
        </w:rPr>
      </w:pPr>
    </w:p>
    <w:p>
      <w:pPr>
        <w:ind w:firstLine="316"/>
        <w:spacing w:after="0" w:line="286" w:lineRule="auto"/>
        <w:rPr>
          <w:sz w:val="20"/>
          <w:szCs w:val="20"/>
          <w:color w:val="auto"/>
        </w:rPr>
      </w:pPr>
      <w:r>
        <w:rPr>
          <w:rFonts w:ascii="Times New Roman" w:cs="Times New Roman" w:eastAsia="Times New Roman" w:hAnsi="Times New Roman"/>
          <w:sz w:val="16"/>
          <w:szCs w:val="16"/>
          <w:color w:val="auto"/>
        </w:rPr>
        <w:t>We have generally held a balance of fixed and variable rate debt. As of March 31, 2023, our only variable rate debt outstanding was our Term Loan A-2, which bears interest, at the Company’s option, at a per annum rate equal to either (x) the Adjusted Term Secured Overnight Financing Rate (“SOFR”) (as defined in the Loan Agreement) plus an applicable margin varying from 1.125% to 2.000% or (y) a base rate plus an applicable margin varying from 0.125% to 1.000%, in each case depending on the corporate family ratings of the Company from at least two of Standard &amp; Poor’s Ratings Services, Moody’s Investors Service, Inc. and Fitch Ratings, Inc., with an initial interest rate of Adjusted Term SOFR plus 1.375%. As of March 31, 2023, the outstanding balance on our Term Loan A-2 was $2.7 billion and a one percent increase in the variable rate of interest would increase annual interest expense by $27 million.</w:t>
      </w:r>
    </w:p>
    <w:p>
      <w:pPr>
        <w:spacing w:after="0" w:line="18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43"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43" w:lineRule="exact"/>
        <w:rPr>
          <w:sz w:val="20"/>
          <w:szCs w:val="20"/>
          <w:color w:val="auto"/>
        </w:rPr>
      </w:pPr>
    </w:p>
    <w:p>
      <w:pPr>
        <w:ind w:right="400" w:firstLine="316"/>
        <w:spacing w:after="0" w:line="269"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third quarter of 2023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 OTHER INFORMATION</w:t>
      </w:r>
    </w:p>
    <w:p>
      <w:pPr>
        <w:spacing w:after="0" w:line="2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43" w:lineRule="exact"/>
        <w:rPr>
          <w:sz w:val="20"/>
          <w:szCs w:val="20"/>
          <w:color w:val="auto"/>
        </w:rPr>
      </w:pPr>
    </w:p>
    <w:p>
      <w:pPr>
        <w:jc w:val="both"/>
        <w:ind w:right="340" w:firstLine="316"/>
        <w:spacing w:after="0" w:line="253" w:lineRule="auto"/>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of the Notes to Condensed Consolidated Financial Statements included in this Quarterly Report on Form 10-Q for disclosures regarding statutory notices of deficiency issued by the IRS in June 2018 and December 2018, petitions filed by the Company with the U.S. Tax Court in September 2018 and March 2019, additional penalties asserted by the IRS in March 2021 and further Amendments to Answers filed by the IRS in June 2021 and January 2022, and a tentative resolution with respect to certain matters.</w:t>
      </w:r>
    </w:p>
    <w:p>
      <w:pPr>
        <w:spacing w:after="0" w:line="2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245" w:lineRule="exact"/>
        <w:rPr>
          <w:sz w:val="20"/>
          <w:szCs w:val="20"/>
          <w:color w:val="auto"/>
        </w:rPr>
      </w:pPr>
    </w:p>
    <w:p>
      <w:pPr>
        <w:ind w:right="100" w:firstLine="316"/>
        <w:spacing w:after="0" w:line="249" w:lineRule="auto"/>
        <w:rPr>
          <w:sz w:val="20"/>
          <w:szCs w:val="20"/>
          <w:color w:val="auto"/>
        </w:rPr>
      </w:pPr>
      <w:r>
        <w:rPr>
          <w:rFonts w:ascii="Times New Roman" w:cs="Times New Roman" w:eastAsia="Times New Roman" w:hAnsi="Times New Roman"/>
          <w:sz w:val="18"/>
          <w:szCs w:val="18"/>
          <w:color w:val="auto"/>
        </w:rPr>
        <w:t>We have described under the heading “Risk Factors” in Part I, Item 1A of our Annual Report on Form 10-K for the year ended July 1, 2022 a number of risks and uncertainties that could cause our actual results of operations and financial condition to vary materially from past, or from anticipated future, results of operations and financial condition. Except as discussed below, there have been no material changes from these risk factors previously described in our Annual Report on Form 10-K for the year ended July 1, 2022. These risks and uncertainties are not the only risks facing us. Additional risks and uncertainties not presently known to us or that we currently deem immaterial may also adversely affect our business, financial condition, results of operations or the market price of our common stock.</w:t>
      </w:r>
    </w:p>
    <w:p>
      <w:pPr>
        <w:spacing w:after="0" w:line="200" w:lineRule="exact"/>
        <w:rPr>
          <w:sz w:val="20"/>
          <w:szCs w:val="20"/>
          <w:color w:val="auto"/>
        </w:rPr>
      </w:pPr>
    </w:p>
    <w:p>
      <w:pPr>
        <w:ind w:right="180" w:firstLine="316"/>
        <w:spacing w:after="0" w:line="256" w:lineRule="auto"/>
        <w:rPr>
          <w:sz w:val="20"/>
          <w:szCs w:val="20"/>
          <w:color w:val="auto"/>
        </w:rPr>
      </w:pPr>
      <w:r>
        <w:rPr>
          <w:rFonts w:ascii="Times New Roman" w:cs="Times New Roman" w:eastAsia="Times New Roman" w:hAnsi="Times New Roman"/>
          <w:sz w:val="18"/>
          <w:szCs w:val="18"/>
          <w:i w:val="1"/>
          <w:iCs w:val="1"/>
          <w:color w:val="auto"/>
        </w:rPr>
        <w:t>The compromise, damage or interruption of our technology infrastructure, systems or products by cyber incidents, data security breaches, other security problems, design defects or system failures could have a material negative impact on our business.</w:t>
      </w:r>
    </w:p>
    <w:p>
      <w:pPr>
        <w:spacing w:after="0" w:line="180" w:lineRule="exact"/>
        <w:rPr>
          <w:sz w:val="20"/>
          <w:szCs w:val="20"/>
          <w:color w:val="auto"/>
        </w:rPr>
      </w:pPr>
    </w:p>
    <w:p>
      <w:pPr>
        <w:ind w:firstLine="316"/>
        <w:spacing w:after="0" w:line="261" w:lineRule="auto"/>
        <w:rPr>
          <w:sz w:val="20"/>
          <w:szCs w:val="20"/>
          <w:color w:val="auto"/>
        </w:rPr>
      </w:pPr>
      <w:r>
        <w:rPr>
          <w:rFonts w:ascii="Times New Roman" w:cs="Times New Roman" w:eastAsia="Times New Roman" w:hAnsi="Times New Roman"/>
          <w:sz w:val="16"/>
          <w:szCs w:val="16"/>
          <w:color w:val="auto"/>
        </w:rPr>
        <w:t xml:space="preserve">We experience cyber incidents of varying degrees on our technology infrastructure and systems and, as a result, unauthorized parties have obtained in the past, and may obtain in the future, access to our computer systems and networks, including cloud-based platforms. As disclosed in Part I, Item 2,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an unauthorized third party gained access to a number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systems in March 2023, which caused disruption to parts of our business operations and resulted in various investigation, recovery, and remediation expenses. In addition, the technology infrastructure and systems of some of our suppliers, vendors, service providers, cloud solution providers and partners have in the past experienced, and may in the future experience, such incidents. Cyber incidents can be caused by ransomware, computer denial-of-service attacks, worms, and other malicious software programs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 incidents have in the past resulted from, and may in the future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have in the past and may in the future reduce the functionality or performance of our computer systems and networks, which could negatively impact our business. We believe malicious cyber acts are increasing in number and that cyber threat actors are increasingly organized and well-financed or supported by state actors, and are developing increasingly sophisticated systems and means to not only infiltrate systems, but also to evade detection or to obscure their activities. Geopolitical tensions or conflicts may create heightened risk of cyber incidents.</w:t>
      </w:r>
    </w:p>
    <w:p>
      <w:pPr>
        <w:spacing w:after="0" w:line="391" w:lineRule="exact"/>
        <w:rPr>
          <w:sz w:val="20"/>
          <w:szCs w:val="20"/>
          <w:color w:val="auto"/>
        </w:rPr>
      </w:pPr>
    </w:p>
    <w:p>
      <w:pPr>
        <w:ind w:firstLine="316"/>
        <w:spacing w:after="0" w:line="266" w:lineRule="auto"/>
        <w:rPr>
          <w:sz w:val="20"/>
          <w:szCs w:val="20"/>
          <w:color w:val="auto"/>
        </w:rPr>
      </w:pPr>
      <w:r>
        <w:rPr>
          <w:rFonts w:ascii="Times New Roman" w:cs="Times New Roman" w:eastAsia="Times New Roman" w:hAnsi="Times New Roman"/>
          <w:sz w:val="16"/>
          <w:szCs w:val="16"/>
          <w:color w:val="auto"/>
        </w:rPr>
        <w:t>Our products are also targets for malicious cyber acts, including those products utilized in cloud-based environments as well as our cloud service offerings. Our cloud services have in the past and may in the future be taken offline as a result of or in order to prevent or mitigate cyber incidents.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 To the extent our products include design defects, suffer system failure or are hacked, or if the encryption schemes are compromised or breached, this could harm our business by requiring us to employ additional resources to fix the errors or defects, exposing us to litigation and indemnification claims and hurting our reputation.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firstLine="316"/>
        <w:spacing w:after="0" w:line="283" w:lineRule="auto"/>
        <w:rPr>
          <w:sz w:val="20"/>
          <w:szCs w:val="20"/>
          <w:color w:val="auto"/>
        </w:rPr>
      </w:pPr>
      <w:r>
        <w:rPr>
          <w:rFonts w:ascii="Times New Roman" w:cs="Times New Roman" w:eastAsia="Times New Roman" w:hAnsi="Times New Roman"/>
          <w:sz w:val="16"/>
          <w:szCs w:val="16"/>
          <w:color w:val="auto"/>
        </w:rPr>
        <w:t xml:space="preserve">As discussed in Part I, Item 2,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with respect to the March 2023 cyber incident, 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Compromises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breaches, we have in the past experienced and may in the future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245" w:lineRule="exact"/>
        <w:rPr>
          <w:sz w:val="20"/>
          <w:szCs w:val="20"/>
          <w:color w:val="auto"/>
        </w:rPr>
      </w:pPr>
    </w:p>
    <w:p>
      <w:pPr>
        <w:ind w:firstLine="316"/>
        <w:spacing w:after="0" w:line="248" w:lineRule="auto"/>
        <w:rPr>
          <w:sz w:val="20"/>
          <w:szCs w:val="20"/>
          <w:color w:val="auto"/>
        </w:rPr>
      </w:pPr>
      <w:r>
        <w:rPr>
          <w:rFonts w:ascii="Times New Roman" w:cs="Times New Roman" w:eastAsia="Times New Roman" w:hAnsi="Times New Roman"/>
          <w:sz w:val="18"/>
          <w:szCs w:val="18"/>
          <w:color w:val="auto"/>
        </w:rPr>
        <w:t>The exhibits listed in the Exhibit Index below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0" w:type="dxa"/>
            <w:vAlign w:val="bottom"/>
          </w:tcPr>
          <w:p>
            <w:pPr>
              <w:ind w:left="3640"/>
              <w:spacing w:after="0"/>
              <w:rPr>
                <w:sz w:val="20"/>
                <w:szCs w:val="20"/>
                <w:color w:val="auto"/>
              </w:rPr>
            </w:pPr>
            <w:r>
              <w:rPr>
                <w:rFonts w:ascii="Times New Roman" w:cs="Times New Roman" w:eastAsia="Times New Roman" w:hAnsi="Times New Roman"/>
                <w:sz w:val="19"/>
                <w:szCs w:val="19"/>
                <w:b w:val="1"/>
                <w:bCs w:val="1"/>
                <w:color w:val="auto"/>
              </w:rPr>
              <w:t>EXHIBIT INDEX</w:t>
            </w:r>
          </w:p>
        </w:tc>
      </w:tr>
      <w:tr>
        <w:trPr>
          <w:trHeight w:val="206"/>
        </w:trPr>
        <w:tc>
          <w:tcPr>
            <w:tcW w:w="1240" w:type="dxa"/>
            <w:vAlign w:val="bottom"/>
            <w:gridSpan w:val="4"/>
          </w:tcPr>
          <w:p>
            <w:pPr>
              <w:jc w:val="center"/>
              <w:ind w:right="120"/>
              <w:spacing w:after="0" w:line="206" w:lineRule="exact"/>
              <w:rPr>
                <w:sz w:val="20"/>
                <w:szCs w:val="20"/>
                <w:color w:val="auto"/>
              </w:rPr>
            </w:pPr>
            <w:r>
              <w:rPr>
                <w:rFonts w:ascii="Times New Roman" w:cs="Times New Roman" w:eastAsia="Times New Roman" w:hAnsi="Times New Roman"/>
                <w:sz w:val="18"/>
                <w:szCs w:val="18"/>
                <w:color w:val="auto"/>
                <w:w w:val="98"/>
              </w:rPr>
              <w:t>Exhibit</w:t>
            </w:r>
          </w:p>
        </w:tc>
        <w:tc>
          <w:tcPr>
            <w:tcW w:w="10000" w:type="dxa"/>
            <w:vAlign w:val="bottom"/>
          </w:tcPr>
          <w:p>
            <w:pPr>
              <w:spacing w:after="0"/>
              <w:rPr>
                <w:sz w:val="17"/>
                <w:szCs w:val="17"/>
                <w:color w:val="auto"/>
              </w:rPr>
            </w:pPr>
          </w:p>
        </w:tc>
      </w:tr>
      <w:tr>
        <w:trPr>
          <w:trHeight w:val="237"/>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Number</w:t>
            </w:r>
          </w:p>
        </w:tc>
        <w:tc>
          <w:tcPr>
            <w:tcW w:w="1000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Description</w:t>
            </w:r>
          </w:p>
        </w:tc>
      </w:tr>
      <w:tr>
        <w:trPr>
          <w:trHeight w:val="178"/>
        </w:trPr>
        <w:tc>
          <w:tcPr>
            <w:tcW w:w="720" w:type="dxa"/>
            <w:vAlign w:val="bottom"/>
            <w:tcBorders>
              <w:top w:val="single" w:sz="8" w:color="auto"/>
              <w:right w:val="single" w:sz="8" w:color="CCEEFF"/>
            </w:tcBorders>
            <w:gridSpan w:val="2"/>
            <w:shd w:val="clear" w:color="auto" w:fill="CCEEFF"/>
          </w:tcPr>
          <w:p>
            <w:pPr>
              <w:jc w:val="center"/>
              <w:ind w:left="332"/>
              <w:spacing w:after="0" w:line="178"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r>
      <w:tr>
        <w:trPr>
          <w:trHeight w:val="185"/>
        </w:trPr>
        <w:tc>
          <w:tcPr>
            <w:tcW w:w="720" w:type="dxa"/>
            <w:vAlign w:val="bottom"/>
            <w:gridSpan w:val="2"/>
          </w:tcPr>
          <w:p>
            <w:pPr>
              <w:jc w:val="center"/>
              <w:ind w:left="332"/>
              <w:spacing w:after="0" w:line="185"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9"/>
              </w:rPr>
              <w:t>Amended and Restated By-Laws of Western Digital Corporation, as amended effective as of February 10, 2021 (Filed as Exhibit 3.1 to the</w:t>
            </w:r>
          </w:p>
        </w:tc>
      </w:tr>
      <w:tr>
        <w:trPr>
          <w:trHeight w:val="204"/>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Company’s Current Report on Form 8-K (File No. 1-08703) with the Securities and Exchange Commission on February 12, 2021)</w:t>
            </w:r>
          </w:p>
        </w:tc>
      </w:tr>
      <w:tr>
        <w:trPr>
          <w:trHeight w:val="171"/>
        </w:trPr>
        <w:tc>
          <w:tcPr>
            <w:tcW w:w="720" w:type="dxa"/>
            <w:vAlign w:val="bottom"/>
            <w:tcBorders>
              <w:right w:val="single" w:sz="8" w:color="CCEEFF"/>
            </w:tcBorders>
            <w:gridSpan w:val="2"/>
            <w:shd w:val="clear" w:color="auto" w:fill="CCEEFF"/>
          </w:tcPr>
          <w:p>
            <w:pPr>
              <w:jc w:val="center"/>
              <w:ind w:left="332"/>
              <w:spacing w:after="0" w:line="171" w:lineRule="exact"/>
              <w:rPr>
                <w:sz w:val="20"/>
                <w:szCs w:val="20"/>
                <w:color w:val="auto"/>
              </w:rPr>
            </w:pPr>
            <w:r>
              <w:rPr>
                <w:rFonts w:ascii="Times New Roman" w:cs="Times New Roman" w:eastAsia="Times New Roman" w:hAnsi="Times New Roman"/>
                <w:sz w:val="18"/>
                <w:szCs w:val="18"/>
                <w:color w:val="auto"/>
                <w:w w:val="97"/>
              </w:rPr>
              <w:t>3.3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Certificate of Designations, Preferences and Rights of Series A Convertible Perpetual Preferred Stock (Filed as Exhibit 3.1 to the Company’s</w:t>
            </w:r>
          </w:p>
        </w:tc>
      </w:tr>
      <w:tr>
        <w:trPr>
          <w:trHeight w:val="237"/>
        </w:trPr>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Report on Form 8-K (File No. 1-08703) with the Securities and Exchange Commission on February 1, 2023)</w:t>
            </w:r>
          </w:p>
        </w:tc>
      </w:tr>
      <w:tr>
        <w:trPr>
          <w:trHeight w:val="185"/>
        </w:trPr>
        <w:tc>
          <w:tcPr>
            <w:tcW w:w="112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Investment Agreement, dated January 31, 2023, by and between Western Digital Corporation and AP WD Holdings, L.P.†</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8"/>
              </w:rPr>
              <w:t>Investment Agreement, dated January 31, 2023, by and among Western Digital Corporation, Elliott Associates, L.P. and Elliott International,</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L.P.†</w:t>
            </w:r>
          </w:p>
        </w:tc>
      </w:tr>
      <w:tr>
        <w:trPr>
          <w:trHeight w:val="185"/>
        </w:trPr>
        <w:tc>
          <w:tcPr>
            <w:tcW w:w="1120" w:type="dxa"/>
            <w:vAlign w:val="bottom"/>
            <w:gridSpan w:val="3"/>
          </w:tcPr>
          <w:p>
            <w:pPr>
              <w:jc w:val="center"/>
              <w:spacing w:after="0" w:line="185"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Registration Rights Agreement, dated January 31, 2023, by and among Western Digital Corporation, AP WD Holdings, L.P., Elliott</w:t>
            </w:r>
          </w:p>
        </w:tc>
      </w:tr>
      <w:tr>
        <w:trPr>
          <w:trHeight w:val="138"/>
        </w:trPr>
        <w:tc>
          <w:tcPr>
            <w:tcW w:w="46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0" w:type="dxa"/>
            <w:vAlign w:val="bottom"/>
          </w:tcPr>
          <w:p>
            <w:pPr>
              <w:spacing w:after="0" w:line="138" w:lineRule="exact"/>
              <w:rPr>
                <w:sz w:val="20"/>
                <w:szCs w:val="20"/>
                <w:color w:val="auto"/>
              </w:rPr>
            </w:pPr>
            <w:r>
              <w:rPr>
                <w:rFonts w:ascii="Times New Roman" w:cs="Times New Roman" w:eastAsia="Times New Roman" w:hAnsi="Times New Roman"/>
                <w:sz w:val="16"/>
                <w:szCs w:val="16"/>
                <w:color w:val="auto"/>
              </w:rPr>
              <w:t>Associates, L.P. and Elliott International, L.P. (Filed as Exhibit 10.3 to the Company’s Current Report on Form 8-K (File No. 1-08703) with</w:t>
            </w:r>
          </w:p>
        </w:tc>
      </w:tr>
      <w:tr>
        <w:trPr>
          <w:trHeight w:val="233"/>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the Securities and Exchange Commission on February 1, 2023)</w:t>
            </w:r>
          </w:p>
        </w:tc>
      </w:tr>
      <w:tr>
        <w:trPr>
          <w:trHeight w:val="189"/>
        </w:trPr>
        <w:tc>
          <w:tcPr>
            <w:tcW w:w="1120" w:type="dxa"/>
            <w:vAlign w:val="bottom"/>
            <w:gridSpan w:val="3"/>
            <w:shd w:val="clear" w:color="auto" w:fill="CCEEFF"/>
          </w:tcPr>
          <w:p>
            <w:pPr>
              <w:jc w:val="center"/>
              <w:spacing w:after="0" w:line="189" w:lineRule="exact"/>
              <w:rPr>
                <w:rFonts w:ascii="Times New Roman" w:cs="Times New Roman" w:eastAsia="Times New Roman" w:hAnsi="Times New Roman"/>
                <w:sz w:val="18"/>
                <w:szCs w:val="18"/>
                <w:color w:val="0000FF"/>
                <w:w w:val="95"/>
              </w:rPr>
            </w:pPr>
            <w:hyperlink r:id="rId13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Letter Agreement, dated January 31, 2023, by and between Western Digital Corporation and Elliott Investment</w:t>
            </w:r>
          </w:p>
        </w:tc>
      </w:tr>
      <w:tr>
        <w:trPr>
          <w:trHeight w:val="138"/>
        </w:trPr>
        <w:tc>
          <w:tcPr>
            <w:tcW w:w="46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0000FF"/>
              <w:right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6"/>
                <w:szCs w:val="16"/>
                <w:color w:val="auto"/>
              </w:rPr>
              <w:t>Management L.P. (Filed as Exhibit 10.4 to the Company’s Current Report on Form 8-K (File No. 1-08703) with the Securities and Exchange</w:t>
            </w:r>
          </w:p>
        </w:tc>
      </w:tr>
      <w:tr>
        <w:trPr>
          <w:trHeight w:val="237"/>
        </w:trPr>
        <w:tc>
          <w:tcPr>
            <w:tcW w:w="46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on February 1, 2023)</w:t>
            </w:r>
          </w:p>
        </w:tc>
      </w:tr>
      <w:tr>
        <w:trPr>
          <w:trHeight w:val="185"/>
        </w:trPr>
        <w:tc>
          <w:tcPr>
            <w:tcW w:w="112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30"/>
        </w:trPr>
        <w:tc>
          <w:tcPr>
            <w:tcW w:w="460" w:type="dxa"/>
            <w:vAlign w:val="bottom"/>
            <w:tcBorders>
              <w:right w:val="single" w:sz="8" w:color="0000FF"/>
            </w:tcBorders>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0" w:type="dxa"/>
            <w:vAlign w:val="bottom"/>
          </w:tcPr>
          <w:p>
            <w:pPr>
              <w:spacing w:after="0"/>
              <w:rPr>
                <w:sz w:val="2"/>
                <w:szCs w:val="2"/>
                <w:color w:val="auto"/>
              </w:rPr>
            </w:pPr>
          </w:p>
        </w:tc>
      </w:tr>
      <w:tr>
        <w:trPr>
          <w:trHeight w:val="194"/>
        </w:trPr>
        <w:tc>
          <w:tcPr>
            <w:tcW w:w="112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40"/>
        </w:trPr>
        <w:tc>
          <w:tcPr>
            <w:tcW w:w="460" w:type="dxa"/>
            <w:vAlign w:val="bottom"/>
            <w:tcBorders>
              <w:right w:val="single" w:sz="8" w:color="0000FF"/>
            </w:tcBorders>
            <w:shd w:val="clear" w:color="auto" w:fill="CCEE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0" w:type="dxa"/>
            <w:vAlign w:val="bottom"/>
            <w:shd w:val="clear" w:color="auto" w:fill="CCEEFF"/>
          </w:tcPr>
          <w:p>
            <w:pPr>
              <w:spacing w:after="0"/>
              <w:rPr>
                <w:sz w:val="3"/>
                <w:szCs w:val="3"/>
                <w:color w:val="auto"/>
              </w:rPr>
            </w:pPr>
          </w:p>
        </w:tc>
      </w:tr>
      <w:tr>
        <w:trPr>
          <w:trHeight w:val="185"/>
        </w:trPr>
        <w:tc>
          <w:tcPr>
            <w:tcW w:w="112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20" w:type="dxa"/>
            <w:vAlign w:val="bottom"/>
          </w:tcPr>
          <w:p>
            <w:pPr>
              <w:spacing w:after="0"/>
              <w:rPr>
                <w:sz w:val="16"/>
                <w:szCs w:val="16"/>
                <w:color w:val="auto"/>
              </w:rPr>
            </w:pPr>
          </w:p>
        </w:tc>
        <w:tc>
          <w:tcPr>
            <w:tcW w:w="100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9"/>
              </w:rPr>
              <w:t>Certification of Chief Executive Officer Pursuant to 18 U.S.C. Section 1350, as adopted pursuant to Section 906 of the Sarbanes-Oxley Act</w:t>
            </w:r>
          </w:p>
        </w:tc>
      </w:tr>
      <w:tr>
        <w:trPr>
          <w:trHeight w:val="204"/>
        </w:trPr>
        <w:tc>
          <w:tcPr>
            <w:tcW w:w="46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of 2002**</w:t>
            </w:r>
          </w:p>
        </w:tc>
      </w:tr>
      <w:tr>
        <w:trPr>
          <w:trHeight w:val="185"/>
        </w:trPr>
        <w:tc>
          <w:tcPr>
            <w:tcW w:w="1120" w:type="dxa"/>
            <w:vAlign w:val="bottom"/>
            <w:gridSpan w:val="3"/>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20" w:type="dxa"/>
            <w:vAlign w:val="bottom"/>
            <w:shd w:val="clear" w:color="auto" w:fill="CCEEFF"/>
          </w:tcPr>
          <w:p>
            <w:pPr>
              <w:spacing w:after="0"/>
              <w:rPr>
                <w:sz w:val="16"/>
                <w:szCs w:val="16"/>
                <w:color w:val="auto"/>
              </w:rPr>
            </w:pPr>
          </w:p>
        </w:tc>
        <w:tc>
          <w:tcPr>
            <w:tcW w:w="100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w w:val="97"/>
              </w:rPr>
              <w:t>Certification of Chief Financial Officer Pursuant to 18 U.S.C. Section 1350, as adopted pursuant to Section 906 of the Sarbanes-Oxley Act of</w:t>
            </w:r>
          </w:p>
        </w:tc>
      </w:tr>
      <w:tr>
        <w:trPr>
          <w:trHeight w:val="204"/>
        </w:trPr>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0000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2002**</w:t>
            </w:r>
          </w:p>
        </w:tc>
      </w:tr>
      <w:tr>
        <w:trPr>
          <w:trHeight w:val="171"/>
        </w:trPr>
        <w:tc>
          <w:tcPr>
            <w:tcW w:w="1240" w:type="dxa"/>
            <w:vAlign w:val="bottom"/>
            <w:gridSpan w:val="4"/>
          </w:tcPr>
          <w:p>
            <w:pPr>
              <w:jc w:val="center"/>
              <w:ind w:right="100"/>
              <w:spacing w:after="0" w:line="171" w:lineRule="exact"/>
              <w:rPr>
                <w:sz w:val="20"/>
                <w:szCs w:val="20"/>
                <w:color w:val="auto"/>
              </w:rPr>
            </w:pPr>
            <w:r>
              <w:rPr>
                <w:rFonts w:ascii="Times New Roman" w:cs="Times New Roman" w:eastAsia="Times New Roman" w:hAnsi="Times New Roman"/>
                <w:sz w:val="18"/>
                <w:szCs w:val="18"/>
                <w:color w:val="auto"/>
                <w:w w:val="95"/>
              </w:rPr>
              <w:t>101.INS</w:t>
            </w:r>
          </w:p>
        </w:tc>
        <w:tc>
          <w:tcPr>
            <w:tcW w:w="100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3"/>
        </w:trPr>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9"/>
        </w:trPr>
        <w:tc>
          <w:tcPr>
            <w:tcW w:w="1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4"/>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4"/>
        </w:trPr>
        <w:tc>
          <w:tcPr>
            <w:tcW w:w="1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24"/>
        </w:trPr>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101.PRE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4"/>
        </w:trPr>
        <w:tc>
          <w:tcPr>
            <w:tcW w:w="124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ind w:left="1240" w:hanging="806"/>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249"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9715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65" w:lineRule="exact"/>
        <w:rPr>
          <w:sz w:val="20"/>
          <w:szCs w:val="20"/>
          <w:color w:val="auto"/>
        </w:rPr>
      </w:pPr>
    </w:p>
    <w:p>
      <w:pPr>
        <w:ind w:right="620" w:firstLine="316"/>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175" w:lineRule="exact"/>
        <w:rPr>
          <w:sz w:val="20"/>
          <w:szCs w:val="20"/>
          <w:color w:val="auto"/>
        </w:rPr>
      </w:pPr>
    </w:p>
    <w:p>
      <w:pPr>
        <w:ind w:left="636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Gene Zamiska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13970</wp:posOffset>
            </wp:positionV>
            <wp:extent cx="28759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2875915" cy="8255"/>
                    </a:xfrm>
                    <a:prstGeom prst="rect">
                      <a:avLst/>
                    </a:prstGeom>
                    <a:noFill/>
                  </pic:spPr>
                </pic:pic>
              </a:graphicData>
            </a:graphic>
          </wp:anchor>
        </w:drawing>
      </w:r>
    </w:p>
    <w:p>
      <w:pPr>
        <w:spacing w:after="0" w:line="1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Gene Zamiska</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Senior Vice President, Global Accounting and Chief Accounting</w:t>
      </w:r>
    </w:p>
    <w:p>
      <w:pPr>
        <w:ind w:left="68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Accounting Officer and Duly Authorized Officer)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2023</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121"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INVESTMENT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AP WD HOLDINGS, 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as of January 31, 2023</w:t>
      </w:r>
    </w:p>
    <w:p>
      <w:pPr>
        <w:spacing w:after="0" w:line="200" w:lineRule="exact"/>
        <w:rPr>
          <w:sz w:val="20"/>
          <w:szCs w:val="20"/>
          <w:color w:val="auto"/>
        </w:rPr>
      </w:pPr>
    </w:p>
    <w:p>
      <w:pPr>
        <w:spacing w:after="0" w:line="222"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1"/>
          <w:szCs w:val="21"/>
          <w:color w:val="auto"/>
        </w:rPr>
        <w:t>THIS DOCUMENT IS INTENDED SOLELY TO FACILITATE DISCUSSIONS BETWEEN THE PARTIES. IT IS NOT INTENDED TO CREATE, AND WILL NOT BE DEEMED TO CREATE, A LEGALLY BINDING OR ENFORCEABLE OFFER OR AGREEMENT OF ANY TYPE OR NATURE PRIOR TO THE DULY AUTHORIZED AND APPROVED EXECUTION OF THIS DOCUMENT BY EACH OF THE PARTIES AND THE DELIVERY OF AN EXECUTED COPY BY EACH OF THE PARTIES.</w:t>
      </w:r>
    </w:p>
    <w:p>
      <w:pPr>
        <w:sectPr>
          <w:pgSz w:w="11900" w:h="16838" w:orient="portrait"/>
          <w:cols w:equalWidth="0" w:num="1">
            <w:col w:w="11240"/>
          </w:cols>
          <w:pgMar w:left="320" w:top="94" w:right="339" w:bottom="1440" w:gutter="0" w:footer="0" w:header="0"/>
        </w:sectPr>
      </w:pPr>
    </w:p>
    <w:bookmarkStart w:id="59" w:name="page60"/>
    <w:bookmarkEnd w:id="59"/>
    <w:p>
      <w:pPr>
        <w:jc w:val="center"/>
        <w:ind w:left="11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u w:val="single" w:color="auto"/>
          <w:color w:val="0000FF"/>
        </w:rPr>
        <w:t>ARTICLE I</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u w:val="single" w:color="auto"/>
          <w:color w:val="0000FF"/>
        </w:rPr>
        <w:t>Definitions</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1.01</w:t>
        <w:tab/>
        <w:t>Definitions</w:t>
      </w:r>
    </w:p>
    <w:p>
      <w:pPr>
        <w:spacing w:after="0" w:line="3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ARTICLE II</w:t>
      </w:r>
    </w:p>
    <w:p>
      <w:pPr>
        <w:spacing w:after="0" w:line="18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Purchase and Sale</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2.01</w:t>
        <w:tab/>
        <w:t>Purchase and Sale</w:t>
      </w:r>
    </w:p>
    <w:p>
      <w:pPr>
        <w:spacing w:after="0" w:line="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2.02</w:t>
        <w:tab/>
        <w:t>Closing</w:t>
      </w:r>
    </w:p>
    <w:p>
      <w:pPr>
        <w:spacing w:after="0" w:line="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ARTICLE III</w:t>
      </w:r>
    </w:p>
    <w:p>
      <w:pPr>
        <w:spacing w:after="0" w:line="18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Representations and Warranties of the Company</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3.01</w:t>
        <w:tab/>
        <w:t>Organization; Standing</w:t>
      </w:r>
    </w:p>
    <w:p>
      <w:pPr>
        <w:spacing w:after="0" w:line="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3.02</w:t>
        <w:tab/>
        <w:t>Capitalization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3.03</w:t>
        <w:tab/>
        <w:t>Authority; Non-contravention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3.04</w:t>
        <w:tab/>
        <w:t>Governmental Approvals</w:t>
      </w:r>
    </w:p>
    <w:p>
      <w:pPr>
        <w:spacing w:after="0" w:line="49" w:lineRule="exact"/>
        <w:rPr>
          <w:sz w:val="20"/>
          <w:szCs w:val="20"/>
          <w:color w:val="auto"/>
        </w:rPr>
      </w:pPr>
    </w:p>
    <w:p>
      <w:pPr>
        <w:ind w:right="4400"/>
        <w:spacing w:after="0" w:line="288" w:lineRule="auto"/>
        <w:rPr>
          <w:sz w:val="20"/>
          <w:szCs w:val="20"/>
          <w:color w:val="auto"/>
        </w:rPr>
      </w:pPr>
      <w:r>
        <w:rPr>
          <w:rFonts w:ascii="Times New Roman" w:cs="Times New Roman" w:eastAsia="Times New Roman" w:hAnsi="Times New Roman"/>
          <w:sz w:val="21"/>
          <w:szCs w:val="21"/>
          <w:u w:val="single" w:color="auto"/>
          <w:color w:val="0000FF"/>
        </w:rPr>
        <w:t>Section 3.05 Company SEC Documents; Undisclosed Liabilities Section 3.06 Absence of Certain Changes Section 3.07 Legal Proceedings</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3.08</w:t>
        <w:tab/>
        <w:t>Compliance with Laws; Permits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3.09</w:t>
        <w:tab/>
        <w:t>Contracts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3.10</w:t>
      </w:r>
      <w:r>
        <w:rPr>
          <w:sz w:val="20"/>
          <w:szCs w:val="20"/>
          <w:color w:val="auto"/>
        </w:rPr>
        <w:tab/>
      </w:r>
      <w:r>
        <w:rPr>
          <w:rFonts w:ascii="Times New Roman" w:cs="Times New Roman" w:eastAsia="Times New Roman" w:hAnsi="Times New Roman"/>
          <w:sz w:val="20"/>
          <w:szCs w:val="20"/>
          <w:u w:val="single" w:color="auto"/>
          <w:color w:val="0000FF"/>
        </w:rPr>
        <w:t>Tax Matters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3.11</w:t>
        <w:tab/>
        <w:t>Real Property Holding Corporation</w:t>
      </w:r>
    </w:p>
    <w:p>
      <w:pPr>
        <w:spacing w:after="0" w:line="49" w:lineRule="exact"/>
        <w:rPr>
          <w:sz w:val="20"/>
          <w:szCs w:val="20"/>
          <w:color w:val="auto"/>
        </w:rPr>
      </w:pPr>
    </w:p>
    <w:p>
      <w:pPr>
        <w:ind w:right="4600"/>
        <w:spacing w:after="0" w:line="288" w:lineRule="auto"/>
        <w:rPr>
          <w:sz w:val="20"/>
          <w:szCs w:val="20"/>
          <w:color w:val="auto"/>
        </w:rPr>
      </w:pPr>
      <w:r>
        <w:rPr>
          <w:rFonts w:ascii="Times New Roman" w:cs="Times New Roman" w:eastAsia="Times New Roman" w:hAnsi="Times New Roman"/>
          <w:sz w:val="21"/>
          <w:szCs w:val="21"/>
          <w:u w:val="single" w:color="auto"/>
          <w:color w:val="0000FF"/>
        </w:rPr>
        <w:t>Section 3.12 No Rights Agreement; Anti-Takeover Provisions Section 3.13 Brokers and Other Advisors Section 3.14 Employee Benefit Plans</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3.15</w:t>
        <w:tab/>
        <w:t>Labor Matters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3.16</w:t>
        <w:tab/>
        <w:t>Sale of Securities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3.17</w:t>
        <w:tab/>
        <w:t>Listing and Maintenance Requirements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3.18</w:t>
        <w:tab/>
        <w:t>Status of Securities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3.19</w:t>
        <w:tab/>
        <w:t>NASDAQ Notification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3.20</w:t>
        <w:tab/>
        <w:t>Indebtedness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3.21</w:t>
        <w:tab/>
        <w:t>Real Property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3.22</w:t>
        <w:tab/>
        <w:t>Intellectual Property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3.23</w:t>
        <w:tab/>
        <w:t>Data Security; Privacy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3.24</w:t>
        <w:tab/>
        <w:t>Affiliate Transactions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3.25</w:t>
        <w:tab/>
        <w:t>Elliott Transaction Documents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3.26</w:t>
      </w:r>
      <w:r>
        <w:rPr>
          <w:sz w:val="20"/>
          <w:szCs w:val="20"/>
          <w:color w:val="auto"/>
        </w:rPr>
        <w:tab/>
      </w:r>
      <w:r>
        <w:rPr>
          <w:rFonts w:ascii="Times New Roman" w:cs="Times New Roman" w:eastAsia="Times New Roman" w:hAnsi="Times New Roman"/>
          <w:sz w:val="20"/>
          <w:szCs w:val="20"/>
          <w:u w:val="single" w:color="auto"/>
          <w:color w:val="0000FF"/>
        </w:rPr>
        <w:t>No Other Representations or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pacing w:after="0" w:line="200" w:lineRule="exact"/>
        <w:rPr>
          <w:sz w:val="20"/>
          <w:szCs w:val="20"/>
          <w:color w:val="auto"/>
        </w:rPr>
      </w:pPr>
    </w:p>
    <w:p>
      <w:pPr>
        <w:sectPr>
          <w:pgSz w:w="11900" w:h="16838" w:orient="portrait"/>
          <w:cols w:equalWidth="0" w:num="2">
            <w:col w:w="9960" w:space="720"/>
            <w:col w:w="480"/>
          </w:cols>
          <w:pgMar w:left="400" w:top="1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361" w:right="339" w:bottom="1440" w:gutter="0" w:footer="0" w:header="0"/>
          <w:type w:val="continuous"/>
        </w:sectPr>
      </w:pPr>
    </w:p>
    <w:bookmarkStart w:id="60" w:name="page61"/>
    <w:bookmarkEnd w:id="60"/>
    <w:p>
      <w:pPr>
        <w:jc w:val="center"/>
        <w:ind w:left="9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ind w:left="980"/>
        <w:spacing w:after="0"/>
        <w:rPr>
          <w:sz w:val="20"/>
          <w:szCs w:val="20"/>
          <w:color w:val="auto"/>
        </w:rPr>
      </w:pPr>
      <w:r>
        <w:rPr>
          <w:rFonts w:ascii="Times New Roman" w:cs="Times New Roman" w:eastAsia="Times New Roman" w:hAnsi="Times New Roman"/>
          <w:sz w:val="21"/>
          <w:szCs w:val="21"/>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80" w:type="dxa"/>
            <w:vAlign w:val="bottom"/>
            <w:gridSpan w:val="3"/>
          </w:tcPr>
          <w:p>
            <w:pPr>
              <w:jc w:val="center"/>
              <w:ind w:right="460"/>
              <w:spacing w:after="0"/>
              <w:rPr>
                <w:sz w:val="20"/>
                <w:szCs w:val="20"/>
                <w:color w:val="auto"/>
              </w:rPr>
            </w:pPr>
            <w:r>
              <w:rPr>
                <w:rFonts w:ascii="Times New Roman" w:cs="Times New Roman" w:eastAsia="Times New Roman" w:hAnsi="Times New Roman"/>
                <w:sz w:val="21"/>
                <w:szCs w:val="21"/>
                <w:color w:val="0000FF"/>
                <w:w w:val="98"/>
              </w:rPr>
              <w:t>ARTICLE IV</w:t>
            </w: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1"/>
                <w:szCs w:val="21"/>
                <w:color w:val="0000FF"/>
                <w:w w:val="99"/>
              </w:rPr>
              <w:t>Representations and Warranties of the Investor</w:t>
            </w: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4.01</w:t>
            </w:r>
          </w:p>
        </w:tc>
        <w:tc>
          <w:tcPr>
            <w:tcW w:w="180" w:type="dxa"/>
            <w:vAlign w:val="bottom"/>
          </w:tcPr>
          <w:p>
            <w:pPr>
              <w:spacing w:after="0"/>
              <w:rPr>
                <w:sz w:val="21"/>
                <w:szCs w:val="21"/>
                <w:color w:val="auto"/>
              </w:rPr>
            </w:pPr>
          </w:p>
        </w:tc>
        <w:tc>
          <w:tcPr>
            <w:tcW w:w="6020" w:type="dxa"/>
            <w:vAlign w:val="bottom"/>
            <w:gridSpan w:val="9"/>
          </w:tcPr>
          <w:p>
            <w:pPr>
              <w:spacing w:after="0"/>
              <w:rPr>
                <w:sz w:val="20"/>
                <w:szCs w:val="20"/>
                <w:color w:val="auto"/>
              </w:rPr>
            </w:pPr>
            <w:r>
              <w:rPr>
                <w:rFonts w:ascii="Times New Roman" w:cs="Times New Roman" w:eastAsia="Times New Roman" w:hAnsi="Times New Roman"/>
                <w:sz w:val="21"/>
                <w:szCs w:val="21"/>
                <w:color w:val="0000FF"/>
              </w:rPr>
              <w:t>Organization; Standing</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0"/>
        </w:trPr>
        <w:tc>
          <w:tcPr>
            <w:tcW w:w="7240" w:type="dxa"/>
            <w:vAlign w:val="bottom"/>
            <w:gridSpan w:val="11"/>
          </w:tcPr>
          <w:p>
            <w:pPr>
              <w:spacing w:after="0"/>
              <w:rPr>
                <w:sz w:val="20"/>
                <w:szCs w:val="20"/>
                <w:color w:val="auto"/>
              </w:rPr>
            </w:pPr>
            <w:r>
              <w:rPr>
                <w:rFonts w:ascii="Times New Roman" w:cs="Times New Roman" w:eastAsia="Times New Roman" w:hAnsi="Times New Roman"/>
                <w:sz w:val="21"/>
                <w:szCs w:val="21"/>
                <w:color w:val="0000FF"/>
              </w:rPr>
              <w:t>Section 4.02  Authority; Non-contravention</w:t>
            </w:r>
          </w:p>
        </w:tc>
      </w:tr>
      <w:tr>
        <w:trPr>
          <w:trHeight w:val="270"/>
        </w:trPr>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4.03</w:t>
            </w:r>
          </w:p>
        </w:tc>
        <w:tc>
          <w:tcPr>
            <w:tcW w:w="180" w:type="dxa"/>
            <w:vAlign w:val="bottom"/>
          </w:tcPr>
          <w:p>
            <w:pPr>
              <w:spacing w:after="0"/>
              <w:rPr>
                <w:sz w:val="23"/>
                <w:szCs w:val="23"/>
                <w:color w:val="auto"/>
              </w:rPr>
            </w:pPr>
          </w:p>
        </w:tc>
        <w:tc>
          <w:tcPr>
            <w:tcW w:w="25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1"/>
                <w:szCs w:val="21"/>
                <w:color w:val="0000FF"/>
              </w:rPr>
              <w:t>Governmental Approvals</w:t>
            </w:r>
          </w:p>
        </w:tc>
        <w:tc>
          <w:tcPr>
            <w:tcW w:w="3480" w:type="dxa"/>
            <w:vAlign w:val="bottom"/>
            <w:gridSpan w:val="3"/>
          </w:tcPr>
          <w:p>
            <w:pPr>
              <w:spacing w:after="0"/>
              <w:rPr>
                <w:sz w:val="23"/>
                <w:szCs w:val="23"/>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4.04</w:t>
            </w:r>
          </w:p>
        </w:tc>
        <w:tc>
          <w:tcPr>
            <w:tcW w:w="180" w:type="dxa"/>
            <w:vAlign w:val="bottom"/>
          </w:tcPr>
          <w:p>
            <w:pPr>
              <w:spacing w:after="0"/>
              <w:rPr>
                <w:sz w:val="23"/>
                <w:szCs w:val="23"/>
                <w:color w:val="auto"/>
              </w:rPr>
            </w:pPr>
          </w:p>
        </w:tc>
        <w:tc>
          <w:tcPr>
            <w:tcW w:w="2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1"/>
                <w:szCs w:val="21"/>
                <w:color w:val="0000FF"/>
                <w:w w:val="99"/>
              </w:rPr>
              <w:t>Brokers and Other Advisors</w:t>
            </w:r>
          </w:p>
        </w:tc>
        <w:tc>
          <w:tcPr>
            <w:tcW w:w="3640" w:type="dxa"/>
            <w:vAlign w:val="bottom"/>
            <w:gridSpan w:val="4"/>
          </w:tcPr>
          <w:p>
            <w:pPr>
              <w:spacing w:after="0"/>
              <w:rPr>
                <w:sz w:val="23"/>
                <w:szCs w:val="23"/>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4.05</w:t>
            </w:r>
          </w:p>
        </w:tc>
        <w:tc>
          <w:tcPr>
            <w:tcW w:w="180" w:type="dxa"/>
            <w:vAlign w:val="bottom"/>
          </w:tcPr>
          <w:p>
            <w:pPr>
              <w:spacing w:after="0"/>
              <w:rPr>
                <w:sz w:val="23"/>
                <w:szCs w:val="23"/>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9"/>
              </w:rPr>
              <w:t>Purchase for Investment</w:t>
            </w:r>
          </w:p>
        </w:tc>
        <w:tc>
          <w:tcPr>
            <w:tcW w:w="3960" w:type="dxa"/>
            <w:vAlign w:val="bottom"/>
            <w:gridSpan w:val="7"/>
          </w:tcPr>
          <w:p>
            <w:pPr>
              <w:spacing w:after="0"/>
              <w:rPr>
                <w:sz w:val="23"/>
                <w:szCs w:val="23"/>
                <w:color w:val="auto"/>
              </w:rPr>
            </w:pPr>
          </w:p>
        </w:tc>
      </w:tr>
    </w:tbl>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u w:val="single" w:color="auto"/>
          <w:color w:val="0000FF"/>
        </w:rPr>
        <w:t>Section 4.06 Non-Reliance on Company Estimates, Projections, Forecasts, Forward-Looking Statements and Business Plans</w:t>
      </w:r>
    </w:p>
    <w:tbl>
      <w:tblPr>
        <w:tblLayout w:type="fixed"/>
        <w:tblInd w:w="0" w:type="dxa"/>
        <w:tblCellMar>
          <w:top w:w="0" w:type="dxa"/>
          <w:left w:w="0" w:type="dxa"/>
          <w:bottom w:w="0" w:type="dxa"/>
          <w:right w:w="0" w:type="dxa"/>
        </w:tblCellMar>
      </w:tblPr>
      <w:tr>
        <w:trPr>
          <w:trHeight w:val="213"/>
        </w:trPr>
        <w:tc>
          <w:tcPr>
            <w:tcW w:w="1040" w:type="dxa"/>
            <w:vAlign w:val="bottom"/>
          </w:tcPr>
          <w:p>
            <w:pPr>
              <w:spacing w:after="0" w:line="213" w:lineRule="exact"/>
              <w:rPr>
                <w:sz w:val="20"/>
                <w:szCs w:val="20"/>
                <w:color w:val="auto"/>
              </w:rPr>
            </w:pPr>
            <w:r>
              <w:rPr>
                <w:rFonts w:ascii="Times New Roman" w:cs="Times New Roman" w:eastAsia="Times New Roman" w:hAnsi="Times New Roman"/>
                <w:sz w:val="21"/>
                <w:szCs w:val="21"/>
                <w:color w:val="0000FF"/>
                <w:w w:val="97"/>
              </w:rPr>
              <w:t>Section 4.07</w:t>
            </w:r>
          </w:p>
        </w:tc>
        <w:tc>
          <w:tcPr>
            <w:tcW w:w="180" w:type="dxa"/>
            <w:vAlign w:val="bottom"/>
          </w:tcPr>
          <w:p>
            <w:pPr>
              <w:spacing w:after="0"/>
              <w:rPr>
                <w:sz w:val="18"/>
                <w:szCs w:val="18"/>
                <w:color w:val="auto"/>
              </w:rPr>
            </w:pPr>
          </w:p>
        </w:tc>
        <w:tc>
          <w:tcPr>
            <w:tcW w:w="5040" w:type="dxa"/>
            <w:vAlign w:val="bottom"/>
            <w:gridSpan w:val="14"/>
          </w:tcPr>
          <w:p>
            <w:pPr>
              <w:spacing w:after="0" w:line="213" w:lineRule="exact"/>
              <w:rPr>
                <w:sz w:val="20"/>
                <w:szCs w:val="20"/>
                <w:color w:val="auto"/>
              </w:rPr>
            </w:pPr>
            <w:r>
              <w:rPr>
                <w:rFonts w:ascii="Times New Roman" w:cs="Times New Roman" w:eastAsia="Times New Roman" w:hAnsi="Times New Roman"/>
                <w:sz w:val="21"/>
                <w:szCs w:val="21"/>
                <w:color w:val="0000FF"/>
              </w:rPr>
              <w:t>Financial Advisor</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0"/>
        </w:trPr>
        <w:tc>
          <w:tcPr>
            <w:tcW w:w="6260" w:type="dxa"/>
            <w:vAlign w:val="bottom"/>
            <w:gridSpan w:val="16"/>
          </w:tcPr>
          <w:p>
            <w:pPr>
              <w:spacing w:after="0"/>
              <w:rPr>
                <w:sz w:val="20"/>
                <w:szCs w:val="20"/>
                <w:color w:val="auto"/>
              </w:rPr>
            </w:pPr>
            <w:r>
              <w:rPr>
                <w:rFonts w:ascii="Times New Roman" w:cs="Times New Roman" w:eastAsia="Times New Roman" w:hAnsi="Times New Roman"/>
                <w:sz w:val="21"/>
                <w:szCs w:val="21"/>
                <w:color w:val="0000FF"/>
              </w:rPr>
              <w:t>Section 4.08  No Other Representations or Warranties</w:t>
            </w:r>
          </w:p>
        </w:tc>
      </w:tr>
      <w:tr>
        <w:trPr>
          <w:trHeight w:val="270"/>
        </w:trPr>
        <w:tc>
          <w:tcPr>
            <w:tcW w:w="10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21"/>
                <w:szCs w:val="21"/>
                <w:color w:val="0000FF"/>
                <w:w w:val="98"/>
              </w:rPr>
              <w:t>ARTICLE V</w:t>
            </w: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21"/>
                <w:szCs w:val="21"/>
                <w:color w:val="0000FF"/>
              </w:rPr>
              <w:t>Additional Agreements</w:t>
            </w:r>
          </w:p>
        </w:tc>
      </w:tr>
      <w:tr>
        <w:trPr>
          <w:trHeight w:val="244"/>
        </w:trPr>
        <w:tc>
          <w:tcPr>
            <w:tcW w:w="6260" w:type="dxa"/>
            <w:vAlign w:val="bottom"/>
            <w:gridSpan w:val="16"/>
          </w:tcPr>
          <w:p>
            <w:pPr>
              <w:spacing w:after="0"/>
              <w:rPr>
                <w:sz w:val="20"/>
                <w:szCs w:val="20"/>
                <w:color w:val="auto"/>
              </w:rPr>
            </w:pPr>
            <w:r>
              <w:rPr>
                <w:rFonts w:ascii="Times New Roman" w:cs="Times New Roman" w:eastAsia="Times New Roman" w:hAnsi="Times New Roman"/>
                <w:sz w:val="21"/>
                <w:szCs w:val="21"/>
                <w:color w:val="0000FF"/>
              </w:rPr>
              <w:t>Section 5.01  Reasonable Best Efforts; Filings</w:t>
            </w:r>
          </w:p>
        </w:tc>
      </w:tr>
      <w:tr>
        <w:trPr>
          <w:trHeight w:val="270"/>
        </w:trPr>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5.02</w:t>
            </w:r>
          </w:p>
        </w:tc>
        <w:tc>
          <w:tcPr>
            <w:tcW w:w="180" w:type="dxa"/>
            <w:vAlign w:val="bottom"/>
          </w:tcPr>
          <w:p>
            <w:pPr>
              <w:spacing w:after="0"/>
              <w:rPr>
                <w:sz w:val="23"/>
                <w:szCs w:val="23"/>
                <w:color w:val="auto"/>
              </w:rPr>
            </w:pPr>
          </w:p>
        </w:tc>
        <w:tc>
          <w:tcPr>
            <w:tcW w:w="1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21"/>
                <w:szCs w:val="21"/>
                <w:color w:val="0000FF"/>
                <w:w w:val="99"/>
              </w:rPr>
              <w:t>Corporate Actions</w:t>
            </w:r>
          </w:p>
        </w:tc>
        <w:tc>
          <w:tcPr>
            <w:tcW w:w="1180" w:type="dxa"/>
            <w:vAlign w:val="bottom"/>
            <w:tcBorders>
              <w:top w:val="single" w:sz="8" w:color="0000FF"/>
            </w:tcBorders>
            <w:gridSpan w:val="2"/>
          </w:tcPr>
          <w:p>
            <w:pPr>
              <w:spacing w:after="0"/>
              <w:rPr>
                <w:sz w:val="23"/>
                <w:szCs w:val="23"/>
                <w:color w:val="auto"/>
              </w:rPr>
            </w:pPr>
          </w:p>
        </w:tc>
        <w:tc>
          <w:tcPr>
            <w:tcW w:w="2300" w:type="dxa"/>
            <w:vAlign w:val="bottom"/>
            <w:gridSpan w:val="6"/>
          </w:tcPr>
          <w:p>
            <w:pPr>
              <w:spacing w:after="0"/>
              <w:rPr>
                <w:sz w:val="23"/>
                <w:szCs w:val="23"/>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5.03</w:t>
            </w:r>
          </w:p>
        </w:tc>
        <w:tc>
          <w:tcPr>
            <w:tcW w:w="180" w:type="dxa"/>
            <w:vAlign w:val="bottom"/>
          </w:tcPr>
          <w:p>
            <w:pPr>
              <w:spacing w:after="0"/>
              <w:rPr>
                <w:sz w:val="23"/>
                <w:szCs w:val="23"/>
                <w:color w:val="auto"/>
              </w:rPr>
            </w:pPr>
          </w:p>
        </w:tc>
        <w:tc>
          <w:tcPr>
            <w:tcW w:w="1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1"/>
                <w:szCs w:val="21"/>
                <w:color w:val="0000FF"/>
                <w:w w:val="99"/>
              </w:rPr>
              <w:t>Public Disclosure</w:t>
            </w:r>
          </w:p>
        </w:tc>
        <w:tc>
          <w:tcPr>
            <w:tcW w:w="3520" w:type="dxa"/>
            <w:vAlign w:val="bottom"/>
            <w:gridSpan w:val="9"/>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5.04</w:t>
            </w:r>
          </w:p>
        </w:tc>
        <w:tc>
          <w:tcPr>
            <w:tcW w:w="180" w:type="dxa"/>
            <w:vAlign w:val="bottom"/>
          </w:tcPr>
          <w:p>
            <w:pPr>
              <w:spacing w:after="0"/>
              <w:rPr>
                <w:sz w:val="23"/>
                <w:szCs w:val="23"/>
                <w:color w:val="auto"/>
              </w:rPr>
            </w:pPr>
          </w:p>
        </w:tc>
        <w:tc>
          <w:tcPr>
            <w:tcW w:w="5040" w:type="dxa"/>
            <w:vAlign w:val="bottom"/>
            <w:gridSpan w:val="14"/>
          </w:tcPr>
          <w:p>
            <w:pPr>
              <w:spacing w:after="0"/>
              <w:rPr>
                <w:sz w:val="20"/>
                <w:szCs w:val="20"/>
                <w:color w:val="auto"/>
              </w:rPr>
            </w:pPr>
            <w:r>
              <w:rPr>
                <w:rFonts w:ascii="Times New Roman" w:cs="Times New Roman" w:eastAsia="Times New Roman" w:hAnsi="Times New Roman"/>
                <w:sz w:val="21"/>
                <w:szCs w:val="21"/>
                <w:color w:val="0000FF"/>
              </w:rPr>
              <w:t>Confidentiality</w:t>
            </w:r>
          </w:p>
        </w:tc>
      </w:tr>
      <w:tr>
        <w:trPr>
          <w:trHeight w:val="270"/>
        </w:trPr>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5.05</w:t>
            </w:r>
          </w:p>
        </w:tc>
        <w:tc>
          <w:tcPr>
            <w:tcW w:w="180" w:type="dxa"/>
            <w:vAlign w:val="bottom"/>
          </w:tcPr>
          <w:p>
            <w:pPr>
              <w:spacing w:after="0"/>
              <w:rPr>
                <w:sz w:val="23"/>
                <w:szCs w:val="23"/>
                <w:color w:val="auto"/>
              </w:rPr>
            </w:pP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rPr>
              <w:t>Standstill</w:t>
            </w:r>
          </w:p>
        </w:tc>
        <w:tc>
          <w:tcPr>
            <w:tcW w:w="3760" w:type="dxa"/>
            <w:vAlign w:val="bottom"/>
            <w:gridSpan w:val="10"/>
          </w:tcPr>
          <w:p>
            <w:pPr>
              <w:spacing w:after="0"/>
              <w:rPr>
                <w:sz w:val="23"/>
                <w:szCs w:val="23"/>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5.06</w:t>
            </w:r>
          </w:p>
        </w:tc>
        <w:tc>
          <w:tcPr>
            <w:tcW w:w="180" w:type="dxa"/>
            <w:vAlign w:val="bottom"/>
          </w:tcPr>
          <w:p>
            <w:pPr>
              <w:spacing w:after="0"/>
              <w:rPr>
                <w:sz w:val="23"/>
                <w:szCs w:val="23"/>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1"/>
                <w:szCs w:val="21"/>
                <w:color w:val="0000FF"/>
                <w:w w:val="99"/>
              </w:rPr>
              <w:t>Transfer Restrictions</w:t>
            </w:r>
          </w:p>
        </w:tc>
        <w:tc>
          <w:tcPr>
            <w:tcW w:w="3260" w:type="dxa"/>
            <w:vAlign w:val="bottom"/>
            <w:gridSpan w:val="7"/>
          </w:tcPr>
          <w:p>
            <w:pPr>
              <w:spacing w:after="0"/>
              <w:rPr>
                <w:sz w:val="23"/>
                <w:szCs w:val="23"/>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5.07</w:t>
            </w:r>
          </w:p>
        </w:tc>
        <w:tc>
          <w:tcPr>
            <w:tcW w:w="180" w:type="dxa"/>
            <w:vAlign w:val="bottom"/>
          </w:tcPr>
          <w:p>
            <w:pPr>
              <w:spacing w:after="0"/>
              <w:rPr>
                <w:sz w:val="23"/>
                <w:szCs w:val="23"/>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8"/>
              </w:rPr>
              <w:t>Legend</w:t>
            </w:r>
          </w:p>
        </w:tc>
        <w:tc>
          <w:tcPr>
            <w:tcW w:w="4400" w:type="dxa"/>
            <w:vAlign w:val="bottom"/>
            <w:gridSpan w:val="13"/>
          </w:tcPr>
          <w:p>
            <w:pPr>
              <w:spacing w:after="0"/>
              <w:rPr>
                <w:sz w:val="23"/>
                <w:szCs w:val="23"/>
                <w:color w:val="auto"/>
              </w:rPr>
            </w:pPr>
          </w:p>
        </w:tc>
      </w:tr>
      <w:tr>
        <w:trPr>
          <w:trHeight w:val="270"/>
        </w:trPr>
        <w:tc>
          <w:tcPr>
            <w:tcW w:w="6260" w:type="dxa"/>
            <w:vAlign w:val="bottom"/>
            <w:gridSpan w:val="16"/>
          </w:tcPr>
          <w:p>
            <w:pPr>
              <w:spacing w:after="0"/>
              <w:rPr>
                <w:sz w:val="20"/>
                <w:szCs w:val="20"/>
                <w:color w:val="auto"/>
              </w:rPr>
            </w:pPr>
            <w:r>
              <w:rPr>
                <w:rFonts w:ascii="Times New Roman" w:cs="Times New Roman" w:eastAsia="Times New Roman" w:hAnsi="Times New Roman"/>
                <w:sz w:val="21"/>
                <w:szCs w:val="21"/>
                <w:color w:val="0000FF"/>
              </w:rPr>
              <w:t>Section 5.08  Board Matters; Election of Directors.</w:t>
            </w:r>
          </w:p>
        </w:tc>
      </w:tr>
      <w:tr>
        <w:trPr>
          <w:trHeight w:val="270"/>
        </w:trPr>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5.09</w:t>
            </w:r>
          </w:p>
        </w:tc>
        <w:tc>
          <w:tcPr>
            <w:tcW w:w="180" w:type="dxa"/>
            <w:vAlign w:val="bottom"/>
          </w:tcPr>
          <w:p>
            <w:pPr>
              <w:spacing w:after="0"/>
              <w:rPr>
                <w:sz w:val="23"/>
                <w:szCs w:val="23"/>
                <w:color w:val="auto"/>
              </w:rPr>
            </w:pPr>
          </w:p>
        </w:tc>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1"/>
                <w:szCs w:val="21"/>
                <w:color w:val="0000FF"/>
                <w:w w:val="97"/>
              </w:rPr>
              <w:t>Tax Matters</w:t>
            </w:r>
          </w:p>
        </w:tc>
        <w:tc>
          <w:tcPr>
            <w:tcW w:w="2140" w:type="dxa"/>
            <w:vAlign w:val="bottom"/>
            <w:tcBorders>
              <w:top w:val="single" w:sz="8" w:color="0000FF"/>
            </w:tcBorders>
            <w:gridSpan w:val="7"/>
          </w:tcPr>
          <w:p>
            <w:pPr>
              <w:spacing w:after="0"/>
              <w:rPr>
                <w:sz w:val="23"/>
                <w:szCs w:val="23"/>
                <w:color w:val="auto"/>
              </w:rPr>
            </w:pPr>
          </w:p>
        </w:tc>
        <w:tc>
          <w:tcPr>
            <w:tcW w:w="1880" w:type="dxa"/>
            <w:vAlign w:val="bottom"/>
            <w:gridSpan w:val="4"/>
          </w:tcPr>
          <w:p>
            <w:pPr>
              <w:spacing w:after="0"/>
              <w:rPr>
                <w:sz w:val="23"/>
                <w:szCs w:val="23"/>
                <w:color w:val="auto"/>
              </w:rPr>
            </w:pPr>
          </w:p>
        </w:tc>
      </w:tr>
    </w:tbl>
    <w:p>
      <w:pPr>
        <w:spacing w:after="0" w:line="5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5.10</w:t>
      </w:r>
      <w:r>
        <w:rPr>
          <w:sz w:val="20"/>
          <w:szCs w:val="20"/>
          <w:color w:val="auto"/>
        </w:rPr>
        <w:tab/>
      </w:r>
      <w:r>
        <w:rPr>
          <w:rFonts w:ascii="Times New Roman" w:cs="Times New Roman" w:eastAsia="Times New Roman" w:hAnsi="Times New Roman"/>
          <w:sz w:val="20"/>
          <w:szCs w:val="20"/>
          <w:u w:val="single" w:color="auto"/>
          <w:color w:val="0000FF"/>
        </w:rPr>
        <w:t>Spin-Off Matters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5.11</w:t>
      </w:r>
      <w:r>
        <w:rPr>
          <w:sz w:val="20"/>
          <w:szCs w:val="20"/>
          <w:color w:val="auto"/>
        </w:rPr>
        <w:tab/>
      </w:r>
      <w:r>
        <w:rPr>
          <w:rFonts w:ascii="Times New Roman" w:cs="Times New Roman" w:eastAsia="Times New Roman" w:hAnsi="Times New Roman"/>
          <w:sz w:val="20"/>
          <w:szCs w:val="20"/>
          <w:u w:val="single" w:color="auto"/>
          <w:color w:val="0000FF"/>
        </w:rPr>
        <w:t>Use of Proceeds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5.12</w:t>
            </w:r>
          </w:p>
        </w:tc>
        <w:tc>
          <w:tcPr>
            <w:tcW w:w="180" w:type="dxa"/>
            <w:vAlign w:val="bottom"/>
          </w:tcPr>
          <w:p>
            <w:pPr>
              <w:spacing w:after="0"/>
              <w:rPr>
                <w:sz w:val="20"/>
                <w:szCs w:val="20"/>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9"/>
              </w:rPr>
              <w:t>DTC Eligibility</w:t>
            </w:r>
          </w:p>
        </w:tc>
        <w:tc>
          <w:tcPr>
            <w:tcW w:w="3320" w:type="dxa"/>
            <w:vAlign w:val="bottom"/>
            <w:gridSpan w:val="12"/>
          </w:tcPr>
          <w:p>
            <w:pPr>
              <w:spacing w:after="0"/>
              <w:rPr>
                <w:sz w:val="20"/>
                <w:szCs w:val="20"/>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5.13</w:t>
            </w:r>
          </w:p>
        </w:tc>
        <w:tc>
          <w:tcPr>
            <w:tcW w:w="180" w:type="dxa"/>
            <w:vAlign w:val="bottom"/>
          </w:tcPr>
          <w:p>
            <w:pPr>
              <w:spacing w:after="0"/>
              <w:rPr>
                <w:sz w:val="23"/>
                <w:szCs w:val="23"/>
                <w:color w:val="auto"/>
              </w:rPr>
            </w:pPr>
          </w:p>
        </w:tc>
        <w:tc>
          <w:tcPr>
            <w:tcW w:w="4660" w:type="dxa"/>
            <w:vAlign w:val="bottom"/>
            <w:gridSpan w:val="16"/>
          </w:tcPr>
          <w:p>
            <w:pPr>
              <w:spacing w:after="0"/>
              <w:rPr>
                <w:sz w:val="20"/>
                <w:szCs w:val="20"/>
                <w:color w:val="auto"/>
              </w:rPr>
            </w:pPr>
            <w:r>
              <w:rPr>
                <w:rFonts w:ascii="Times New Roman" w:cs="Times New Roman" w:eastAsia="Times New Roman" w:hAnsi="Times New Roman"/>
                <w:sz w:val="21"/>
                <w:szCs w:val="21"/>
                <w:color w:val="0000FF"/>
              </w:rPr>
              <w:t>Financing Cooperation</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880" w:type="dxa"/>
            <w:vAlign w:val="bottom"/>
            <w:gridSpan w:val="18"/>
          </w:tcPr>
          <w:p>
            <w:pPr>
              <w:spacing w:after="0"/>
              <w:rPr>
                <w:sz w:val="20"/>
                <w:szCs w:val="20"/>
                <w:color w:val="auto"/>
              </w:rPr>
            </w:pPr>
            <w:r>
              <w:rPr>
                <w:rFonts w:ascii="Times New Roman" w:cs="Times New Roman" w:eastAsia="Times New Roman" w:hAnsi="Times New Roman"/>
                <w:sz w:val="21"/>
                <w:szCs w:val="21"/>
                <w:color w:val="0000FF"/>
              </w:rPr>
              <w:t>Section 5.14  State Securities Laws</w:t>
            </w:r>
          </w:p>
        </w:tc>
      </w:tr>
      <w:tr>
        <w:trPr>
          <w:trHeight w:val="270"/>
        </w:trPr>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5.15</w:t>
            </w:r>
          </w:p>
        </w:tc>
        <w:tc>
          <w:tcPr>
            <w:tcW w:w="180" w:type="dxa"/>
            <w:vAlign w:val="bottom"/>
          </w:tcPr>
          <w:p>
            <w:pPr>
              <w:spacing w:after="0"/>
              <w:rPr>
                <w:sz w:val="23"/>
                <w:szCs w:val="23"/>
                <w:color w:val="auto"/>
              </w:rPr>
            </w:pPr>
          </w:p>
        </w:tc>
        <w:tc>
          <w:tcPr>
            <w:tcW w:w="1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1"/>
                <w:szCs w:val="21"/>
                <w:color w:val="0000FF"/>
              </w:rPr>
              <w:t>Participation Rights</w:t>
            </w:r>
          </w:p>
        </w:tc>
        <w:tc>
          <w:tcPr>
            <w:tcW w:w="2840" w:type="dxa"/>
            <w:vAlign w:val="bottom"/>
            <w:gridSpan w:val="9"/>
          </w:tcPr>
          <w:p>
            <w:pPr>
              <w:spacing w:after="0"/>
              <w:rPr>
                <w:sz w:val="23"/>
                <w:szCs w:val="23"/>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880" w:type="dxa"/>
            <w:vAlign w:val="bottom"/>
            <w:gridSpan w:val="18"/>
          </w:tcPr>
          <w:p>
            <w:pPr>
              <w:spacing w:after="0"/>
              <w:rPr>
                <w:sz w:val="20"/>
                <w:szCs w:val="20"/>
                <w:color w:val="auto"/>
              </w:rPr>
            </w:pPr>
            <w:r>
              <w:rPr>
                <w:rFonts w:ascii="Times New Roman" w:cs="Times New Roman" w:eastAsia="Times New Roman" w:hAnsi="Times New Roman"/>
                <w:sz w:val="21"/>
                <w:szCs w:val="21"/>
                <w:color w:val="0000FF"/>
              </w:rPr>
              <w:t>Section 5.16  Section 16 Matters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5.17</w:t>
            </w:r>
          </w:p>
        </w:tc>
        <w:tc>
          <w:tcPr>
            <w:tcW w:w="180" w:type="dxa"/>
            <w:vAlign w:val="bottom"/>
          </w:tcPr>
          <w:p>
            <w:pPr>
              <w:spacing w:after="0"/>
              <w:rPr>
                <w:sz w:val="23"/>
                <w:szCs w:val="23"/>
                <w:color w:val="auto"/>
              </w:rPr>
            </w:pPr>
          </w:p>
        </w:tc>
        <w:tc>
          <w:tcPr>
            <w:tcW w:w="1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1"/>
                <w:szCs w:val="21"/>
                <w:color w:val="0000FF"/>
              </w:rPr>
              <w:t>Information Rights</w:t>
            </w:r>
          </w:p>
        </w:tc>
        <w:tc>
          <w:tcPr>
            <w:tcW w:w="2980" w:type="dxa"/>
            <w:vAlign w:val="bottom"/>
            <w:gridSpan w:val="10"/>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5.18</w:t>
            </w:r>
          </w:p>
        </w:tc>
        <w:tc>
          <w:tcPr>
            <w:tcW w:w="4840" w:type="dxa"/>
            <w:vAlign w:val="bottom"/>
            <w:gridSpan w:val="17"/>
          </w:tcPr>
          <w:p>
            <w:pPr>
              <w:ind w:left="180"/>
              <w:spacing w:after="0"/>
              <w:rPr>
                <w:sz w:val="20"/>
                <w:szCs w:val="20"/>
                <w:color w:val="auto"/>
              </w:rPr>
            </w:pPr>
            <w:r>
              <w:rPr>
                <w:rFonts w:ascii="Times New Roman" w:cs="Times New Roman" w:eastAsia="Times New Roman" w:hAnsi="Times New Roman"/>
                <w:sz w:val="21"/>
                <w:szCs w:val="21"/>
                <w:color w:val="0000FF"/>
              </w:rPr>
              <w:t>Consent Rights</w:t>
            </w:r>
          </w:p>
        </w:tc>
      </w:tr>
      <w:tr>
        <w:trPr>
          <w:trHeight w:val="270"/>
        </w:trPr>
        <w:tc>
          <w:tcPr>
            <w:tcW w:w="10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5"/>
          </w:tcPr>
          <w:p>
            <w:pPr>
              <w:jc w:val="center"/>
              <w:ind w:right="20"/>
              <w:spacing w:after="0"/>
              <w:rPr>
                <w:sz w:val="20"/>
                <w:szCs w:val="20"/>
                <w:color w:val="auto"/>
              </w:rPr>
            </w:pPr>
            <w:r>
              <w:rPr>
                <w:rFonts w:ascii="Times New Roman" w:cs="Times New Roman" w:eastAsia="Times New Roman" w:hAnsi="Times New Roman"/>
                <w:sz w:val="21"/>
                <w:szCs w:val="21"/>
                <w:color w:val="0000FF"/>
                <w:w w:val="98"/>
              </w:rPr>
              <w:t>ARTICLE VI</w:t>
            </w: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gridSpan w:val="2"/>
          </w:tcPr>
          <w:p>
            <w:pPr>
              <w:jc w:val="center"/>
              <w:ind w:right="220"/>
              <w:spacing w:after="0"/>
              <w:rPr>
                <w:sz w:val="20"/>
                <w:szCs w:val="20"/>
                <w:color w:val="auto"/>
              </w:rPr>
            </w:pPr>
            <w:r>
              <w:rPr>
                <w:rFonts w:ascii="Times New Roman" w:cs="Times New Roman" w:eastAsia="Times New Roman" w:hAnsi="Times New Roman"/>
                <w:sz w:val="21"/>
                <w:szCs w:val="21"/>
                <w:color w:val="0000FF"/>
              </w:rPr>
              <w:t>Survival</w:t>
            </w:r>
          </w:p>
        </w:tc>
        <w:tc>
          <w:tcPr>
            <w:tcW w:w="40" w:type="dxa"/>
            <w:vAlign w:val="bottom"/>
          </w:tcPr>
          <w:p>
            <w:pPr>
              <w:spacing w:after="0"/>
              <w:rPr>
                <w:sz w:val="24"/>
                <w:szCs w:val="24"/>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6.01</w:t>
            </w:r>
          </w:p>
        </w:tc>
        <w:tc>
          <w:tcPr>
            <w:tcW w:w="3860" w:type="dxa"/>
            <w:vAlign w:val="bottom"/>
            <w:gridSpan w:val="14"/>
          </w:tcPr>
          <w:p>
            <w:pPr>
              <w:ind w:left="180"/>
              <w:spacing w:after="0"/>
              <w:rPr>
                <w:sz w:val="20"/>
                <w:szCs w:val="20"/>
                <w:color w:val="auto"/>
              </w:rPr>
            </w:pPr>
            <w:r>
              <w:rPr>
                <w:rFonts w:ascii="Times New Roman" w:cs="Times New Roman" w:eastAsia="Times New Roman" w:hAnsi="Times New Roman"/>
                <w:sz w:val="21"/>
                <w:szCs w:val="21"/>
                <w:color w:val="0000FF"/>
              </w:rPr>
              <w:t>Survival</w:t>
            </w:r>
          </w:p>
        </w:tc>
        <w:tc>
          <w:tcPr>
            <w:tcW w:w="720" w:type="dxa"/>
            <w:vAlign w:val="bottom"/>
            <w:tcBorders>
              <w:top w:val="single" w:sz="8" w:color="0000FF"/>
            </w:tcBorders>
          </w:tcPr>
          <w:p>
            <w:pPr>
              <w:spacing w:after="0"/>
              <w:rPr>
                <w:sz w:val="21"/>
                <w:szCs w:val="21"/>
                <w:color w:val="auto"/>
              </w:rPr>
            </w:pPr>
          </w:p>
        </w:tc>
        <w:tc>
          <w:tcPr>
            <w:tcW w:w="260" w:type="dxa"/>
            <w:vAlign w:val="bottom"/>
            <w:gridSpan w:val="2"/>
          </w:tcPr>
          <w:p>
            <w:pPr>
              <w:spacing w:after="0"/>
              <w:rPr>
                <w:sz w:val="21"/>
                <w:szCs w:val="21"/>
                <w:color w:val="auto"/>
              </w:rPr>
            </w:pPr>
          </w:p>
        </w:tc>
      </w:tr>
      <w:tr>
        <w:trPr>
          <w:trHeight w:val="270"/>
        </w:trPr>
        <w:tc>
          <w:tcPr>
            <w:tcW w:w="10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1"/>
                <w:szCs w:val="21"/>
                <w:color w:val="0000FF"/>
                <w:w w:val="99"/>
              </w:rPr>
              <w:t>ARTICLE VII</w:t>
            </w: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6"/>
          </w:tcPr>
          <w:p>
            <w:pPr>
              <w:jc w:val="center"/>
              <w:spacing w:after="0"/>
              <w:rPr>
                <w:sz w:val="20"/>
                <w:szCs w:val="20"/>
                <w:color w:val="auto"/>
              </w:rPr>
            </w:pPr>
            <w:r>
              <w:rPr>
                <w:rFonts w:ascii="Times New Roman" w:cs="Times New Roman" w:eastAsia="Times New Roman" w:hAnsi="Times New Roman"/>
                <w:sz w:val="21"/>
                <w:szCs w:val="21"/>
                <w:color w:val="0000FF"/>
              </w:rPr>
              <w:t>Miscellaneous</w:t>
            </w: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7.01</w:t>
            </w:r>
          </w:p>
        </w:tc>
        <w:tc>
          <w:tcPr>
            <w:tcW w:w="180" w:type="dxa"/>
            <w:vAlign w:val="bottom"/>
          </w:tcPr>
          <w:p>
            <w:pPr>
              <w:spacing w:after="0"/>
              <w:rPr>
                <w:sz w:val="21"/>
                <w:szCs w:val="21"/>
                <w:color w:val="auto"/>
              </w:rPr>
            </w:pPr>
          </w:p>
        </w:tc>
        <w:tc>
          <w:tcPr>
            <w:tcW w:w="3460" w:type="dxa"/>
            <w:vAlign w:val="bottom"/>
            <w:gridSpan w:val="11"/>
          </w:tcPr>
          <w:p>
            <w:pPr>
              <w:spacing w:after="0"/>
              <w:rPr>
                <w:sz w:val="20"/>
                <w:szCs w:val="20"/>
                <w:color w:val="auto"/>
              </w:rPr>
            </w:pPr>
            <w:r>
              <w:rPr>
                <w:rFonts w:ascii="Times New Roman" w:cs="Times New Roman" w:eastAsia="Times New Roman" w:hAnsi="Times New Roman"/>
                <w:sz w:val="21"/>
                <w:szCs w:val="21"/>
                <w:color w:val="0000FF"/>
              </w:rPr>
              <w:t>Amendments; Waivers</w:t>
            </w:r>
          </w:p>
        </w:tc>
        <w:tc>
          <w:tcPr>
            <w:tcW w:w="1200" w:type="dxa"/>
            <w:vAlign w:val="bottom"/>
            <w:tcBorders>
              <w:top w:val="single" w:sz="8" w:color="0000FF"/>
            </w:tcBorders>
            <w:gridSpan w:val="5"/>
          </w:tcPr>
          <w:p>
            <w:pPr>
              <w:spacing w:after="0"/>
              <w:rPr>
                <w:sz w:val="21"/>
                <w:szCs w:val="2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r>
      <w:tr>
        <w:trPr>
          <w:trHeight w:val="270"/>
        </w:trPr>
        <w:tc>
          <w:tcPr>
            <w:tcW w:w="5880" w:type="dxa"/>
            <w:vAlign w:val="bottom"/>
            <w:gridSpan w:val="18"/>
          </w:tcPr>
          <w:p>
            <w:pPr>
              <w:spacing w:after="0"/>
              <w:rPr>
                <w:sz w:val="20"/>
                <w:szCs w:val="20"/>
                <w:color w:val="auto"/>
              </w:rPr>
            </w:pPr>
            <w:r>
              <w:rPr>
                <w:rFonts w:ascii="Times New Roman" w:cs="Times New Roman" w:eastAsia="Times New Roman" w:hAnsi="Times New Roman"/>
                <w:sz w:val="21"/>
                <w:szCs w:val="21"/>
                <w:color w:val="0000FF"/>
              </w:rPr>
              <w:t>Section 7.02  Extension of Time, Waiver, Etc.</w:t>
            </w:r>
          </w:p>
        </w:tc>
      </w:tr>
      <w:tr>
        <w:trPr>
          <w:trHeight w:val="270"/>
        </w:trPr>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7.03</w:t>
            </w:r>
          </w:p>
        </w:tc>
        <w:tc>
          <w:tcPr>
            <w:tcW w:w="180" w:type="dxa"/>
            <w:vAlign w:val="bottom"/>
          </w:tcPr>
          <w:p>
            <w:pPr>
              <w:spacing w:after="0"/>
              <w:rPr>
                <w:sz w:val="23"/>
                <w:szCs w:val="23"/>
                <w:color w:val="auto"/>
              </w:rPr>
            </w:pPr>
          </w:p>
        </w:tc>
        <w:tc>
          <w:tcPr>
            <w:tcW w:w="1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1"/>
                <w:szCs w:val="21"/>
                <w:color w:val="0000FF"/>
                <w:w w:val="99"/>
              </w:rPr>
              <w:t>Assignment</w:t>
            </w:r>
          </w:p>
        </w:tc>
        <w:tc>
          <w:tcPr>
            <w:tcW w:w="1680" w:type="dxa"/>
            <w:vAlign w:val="bottom"/>
            <w:tcBorders>
              <w:top w:val="single" w:sz="8" w:color="0000FF"/>
            </w:tcBorders>
            <w:gridSpan w:val="7"/>
          </w:tcPr>
          <w:p>
            <w:pPr>
              <w:spacing w:after="0"/>
              <w:rPr>
                <w:sz w:val="23"/>
                <w:szCs w:val="23"/>
                <w:color w:val="auto"/>
              </w:rPr>
            </w:pPr>
          </w:p>
        </w:tc>
        <w:tc>
          <w:tcPr>
            <w:tcW w:w="1960" w:type="dxa"/>
            <w:vAlign w:val="bottom"/>
            <w:gridSpan w:val="7"/>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200" w:lineRule="exact"/>
        <w:rPr>
          <w:sz w:val="20"/>
          <w:szCs w:val="20"/>
          <w:color w:val="auto"/>
        </w:rPr>
      </w:pPr>
    </w:p>
    <w:p>
      <w:pPr>
        <w:sectPr>
          <w:pgSz w:w="11900" w:h="16838" w:orient="portrait"/>
          <w:cols w:equalWidth="0" w:num="2">
            <w:col w:w="10120" w:space="560"/>
            <w:col w:w="200"/>
          </w:cols>
          <w:pgMar w:left="400" w:top="9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880"/>
          </w:cols>
          <w:pgMar w:left="400" w:top="93" w:right="619" w:bottom="1440" w:gutter="0" w:footer="0" w:header="0"/>
          <w:type w:val="continuous"/>
        </w:sectPr>
      </w:pPr>
    </w:p>
    <w:bookmarkStart w:id="61" w:name="page62"/>
    <w:bookmarkEnd w:id="61"/>
    <w:p>
      <w:pPr>
        <w:jc w:val="center"/>
        <w:ind w:left="12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8"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1"/>
          <w:szCs w:val="21"/>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7.04</w:t>
        <w:tab/>
        <w:t>Counterparts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7.05</w:t>
        <w:tab/>
        <w:t>Entire Agreement; No Third-Party Beneficiaries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7.06</w:t>
        <w:tab/>
        <w:t>Governing Law; Jurisdiction</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7.07</w:t>
        <w:tab/>
        <w:t>Specific Enforcement</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7.08</w:t>
      </w:r>
      <w:r>
        <w:rPr>
          <w:sz w:val="20"/>
          <w:szCs w:val="20"/>
          <w:color w:val="auto"/>
        </w:rPr>
        <w:tab/>
      </w:r>
      <w:r>
        <w:rPr>
          <w:rFonts w:ascii="Times New Roman" w:cs="Times New Roman" w:eastAsia="Times New Roman" w:hAnsi="Times New Roman"/>
          <w:sz w:val="20"/>
          <w:szCs w:val="20"/>
          <w:u w:val="single" w:color="auto"/>
          <w:color w:val="0000FF"/>
        </w:rPr>
        <w:t>WAIVER OF JURY TRIAL</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7.09</w:t>
      </w:r>
      <w:r>
        <w:rPr>
          <w:sz w:val="20"/>
          <w:szCs w:val="20"/>
          <w:color w:val="auto"/>
        </w:rPr>
        <w:tab/>
      </w:r>
      <w:r>
        <w:rPr>
          <w:rFonts w:ascii="Times New Roman" w:cs="Times New Roman" w:eastAsia="Times New Roman" w:hAnsi="Times New Roman"/>
          <w:sz w:val="20"/>
          <w:szCs w:val="20"/>
          <w:u w:val="single" w:color="auto"/>
          <w:color w:val="0000FF"/>
        </w:rPr>
        <w:t>Notices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7.10</w:t>
        <w:tab/>
        <w:t>Severability</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7.11</w:t>
        <w:tab/>
        <w:t>Expenses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7.12</w:t>
        <w:tab/>
        <w:t>Interpretation</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7.13</w:t>
        <w:tab/>
        <w:t>Non-Recourse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Exhibits</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Exhibit A:</w:t>
        <w:tab/>
        <w:t>Form of Certificate of Designations</w:t>
      </w:r>
    </w:p>
    <w:p>
      <w:pPr>
        <w:spacing w:after="0" w:line="209" w:lineRule="auto"/>
        <w:tabs>
          <w:tab w:leader="none" w:pos="1080" w:val="left"/>
        </w:tabs>
        <w:rPr>
          <w:sz w:val="20"/>
          <w:szCs w:val="20"/>
          <w:color w:val="auto"/>
        </w:rPr>
      </w:pPr>
      <w:r>
        <w:rPr>
          <w:rFonts w:ascii="Times New Roman" w:cs="Times New Roman" w:eastAsia="Times New Roman" w:hAnsi="Times New Roman"/>
          <w:sz w:val="21"/>
          <w:szCs w:val="21"/>
          <w:color w:val="auto"/>
        </w:rPr>
        <w:t>Exhibit B:</w:t>
        <w:tab/>
        <w:t>Form of Registration Rights Agreement</w:t>
      </w:r>
    </w:p>
    <w:p>
      <w:pPr>
        <w:spacing w:after="0" w:line="210" w:lineRule="auto"/>
        <w:tabs>
          <w:tab w:leader="none" w:pos="1080" w:val="left"/>
        </w:tabs>
        <w:rPr>
          <w:sz w:val="20"/>
          <w:szCs w:val="20"/>
          <w:color w:val="auto"/>
        </w:rPr>
      </w:pPr>
      <w:r>
        <w:rPr>
          <w:rFonts w:ascii="Times New Roman" w:cs="Times New Roman" w:eastAsia="Times New Roman" w:hAnsi="Times New Roman"/>
          <w:sz w:val="21"/>
          <w:szCs w:val="21"/>
          <w:color w:val="auto"/>
        </w:rPr>
        <w:t>Exhibit C:</w:t>
        <w:tab/>
        <w:t>Knowledge of the Company</w:t>
      </w: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Exhibit D:</w:t>
        <w:tab/>
        <w:t>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2">
            <w:col w:w="10040" w:space="720"/>
            <w:col w:w="200"/>
          </w:cols>
          <w:pgMar w:left="320" w:top="96" w:right="619" w:bottom="1440" w:gutter="0" w:footer="0" w:header="0"/>
        </w:sectPr>
      </w:pPr>
    </w:p>
    <w:bookmarkStart w:id="62" w:name="page63"/>
    <w:bookmarkEnd w:id="62"/>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INVESTMENT AGREEMENT, dated as of January 31, 2023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between Western Digital Corporation,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and AP WD Holdings, L.P., a Delaware limited partnership (together with its successors and any Affiliate that becomes a party hereto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WHEREAS, subject to the terms and conditions set forth herein, the Company desires to issue, sell and deliver to the Investor, and the Investor desires to purchase and acquire from the Company, an aggregate of 665,000 shares of the Company’s Series A Convertible Perpetual Preferred Stock, par value $0.01 per share (the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xml:space="preserve">”), having the designation, preferences, rights, privileges, powers, and terms and conditions, as specified in the form of the Certificate of Designations, Preferences and Rights of Series A Convertible Perpetual Preferred Stock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Designations</w:t>
      </w:r>
      <w:r>
        <w:rPr>
          <w:rFonts w:ascii="Times New Roman" w:cs="Times New Roman" w:eastAsia="Times New Roman" w:hAnsi="Times New Roman"/>
          <w:sz w:val="21"/>
          <w:szCs w:val="21"/>
          <w:color w:val="auto"/>
        </w:rPr>
        <w:t>”); and</w:t>
      </w:r>
    </w:p>
    <w:p>
      <w:pPr>
        <w:spacing w:after="0" w:line="149"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WHEREAS, contemporaneously with the execution and delivery of this Agreement, the Company is entering into the Elliott Investment Agreement.</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NOW, THEREFORE, in consideration of the mutual covenants, representations, warranties and agreements contained in this Agreement, the receipt and sufficiency of which are hereby acknowledged, the parties to this Agreement hereby agree as follows:</w:t>
      </w:r>
    </w:p>
    <w:p>
      <w:pPr>
        <w:spacing w:after="0" w:line="1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85"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 As used in this Agreement (including the recitals hereto), the following terms shall have the following meanings:</w:t>
      </w:r>
    </w:p>
    <w:p>
      <w:pPr>
        <w:spacing w:after="0" w:line="142"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25% Beneficial Holding Requirement</w:t>
      </w:r>
      <w:r>
        <w:rPr>
          <w:rFonts w:ascii="Times New Roman" w:cs="Times New Roman" w:eastAsia="Times New Roman" w:hAnsi="Times New Roman"/>
          <w:sz w:val="21"/>
          <w:szCs w:val="21"/>
          <w:color w:val="auto"/>
        </w:rPr>
        <w:t xml:space="preserve">” means that the Investor Parties continue to beneficially own shares of Preferred Stock and/or shares of Common Stock issued upon conversion of shares of Preferred Stock that represent, in the aggregate and on an as-converted basis, at least 25% of the number of shares of Common Stock beneficially owned by the Investor Parties in the aggregate on an as-converted basis as at the Closing, in each case as appropriately adjusted to account for any event that results in an adjustment to the Conversion Price in accordance with the applicable section of the Certificate of Designations;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highlight w:val="white"/>
        </w:rPr>
        <w:t>, that,</w:t>
      </w:r>
      <w:r>
        <w:rPr>
          <w:rFonts w:ascii="Times New Roman" w:cs="Times New Roman" w:eastAsia="Times New Roman" w:hAnsi="Times New Roman"/>
          <w:sz w:val="21"/>
          <w:szCs w:val="21"/>
          <w:color w:val="auto"/>
        </w:rPr>
        <w:t xml:space="preserve"> to the extent the Company undertakes a Standalone Spin-Off, </w:t>
      </w:r>
      <w:r>
        <w:rPr>
          <w:rFonts w:ascii="Times New Roman" w:cs="Times New Roman" w:eastAsia="Times New Roman" w:hAnsi="Times New Roman"/>
          <w:sz w:val="21"/>
          <w:szCs w:val="21"/>
          <w:color w:val="auto"/>
          <w:highlight w:val="white"/>
        </w:rPr>
        <w:t>from and after such Spin-Off, for purposes of calculating this 25%</w:t>
      </w:r>
      <w:r>
        <w:rPr>
          <w:rFonts w:ascii="Times New Roman" w:cs="Times New Roman" w:eastAsia="Times New Roman" w:hAnsi="Times New Roman"/>
          <w:sz w:val="21"/>
          <w:szCs w:val="21"/>
          <w:color w:val="auto"/>
        </w:rPr>
        <w:t xml:space="preserve"> Beneficial Holding Requirement, the number of shares of Preferred Stock and/or Common Stock beneficially owned by the Investor Parties as of the Closing shall equal (a) the Acquired Shares (as defined below)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(b) the SpinCo Preferred Stock (as defined </w:t>
      </w:r>
      <w:r>
        <w:rPr>
          <w:rFonts w:ascii="Times New Roman" w:cs="Times New Roman" w:eastAsia="Times New Roman" w:hAnsi="Times New Roman"/>
          <w:sz w:val="21"/>
          <w:szCs w:val="21"/>
          <w:color w:val="auto"/>
          <w:highlight w:val="white"/>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-419735</wp:posOffset>
            </wp:positionV>
            <wp:extent cx="7135495" cy="276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5495" cy="276225"/>
                    </a:xfrm>
                    <a:prstGeom prst="rect">
                      <a:avLst/>
                    </a:prstGeom>
                    <a:noFill/>
                  </pic:spPr>
                </pic:pic>
              </a:graphicData>
            </a:graphic>
          </wp:anchor>
        </w:drawing>
      </w:r>
    </w:p>
    <w:p>
      <w:pPr>
        <w:spacing w:after="0" w:line="134"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50% Beneficial Holding Requirement</w:t>
      </w:r>
      <w:r>
        <w:rPr>
          <w:rFonts w:ascii="Times New Roman" w:cs="Times New Roman" w:eastAsia="Times New Roman" w:hAnsi="Times New Roman"/>
          <w:sz w:val="21"/>
          <w:szCs w:val="21"/>
          <w:color w:val="auto"/>
        </w:rPr>
        <w:t xml:space="preserve">” means that the Investor Parties continue to beneficially own shares of Preferred Stock and/or shares of Common Stock issued upon conversion of shares of Preferred Stock that represent, in the aggregate and on an as-converted basis, at least 50% of the number of shares of Common Stock beneficially owned by the Investor Parties in the aggregate on an as-converted basis as at the Closing, in each case as appropriately adjusted to account for any event that results in an adjustment to the Conversion Price in accordance with the applicable section of the Certificate of Designations;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highlight w:val="white"/>
        </w:rPr>
        <w:t>, that,</w:t>
      </w:r>
      <w:r>
        <w:rPr>
          <w:rFonts w:ascii="Times New Roman" w:cs="Times New Roman" w:eastAsia="Times New Roman" w:hAnsi="Times New Roman"/>
          <w:sz w:val="21"/>
          <w:szCs w:val="21"/>
          <w:color w:val="auto"/>
        </w:rPr>
        <w:t xml:space="preserve"> to the extent the Company undertakes a Standalone Spin-Off, </w:t>
      </w:r>
      <w:r>
        <w:rPr>
          <w:rFonts w:ascii="Times New Roman" w:cs="Times New Roman" w:eastAsia="Times New Roman" w:hAnsi="Times New Roman"/>
          <w:sz w:val="21"/>
          <w:szCs w:val="21"/>
          <w:color w:val="auto"/>
          <w:highlight w:val="white"/>
        </w:rPr>
        <w:t>from and after such Spin-Off, for purposes of calculating this 50%</w:t>
      </w:r>
      <w:r>
        <w:rPr>
          <w:rFonts w:ascii="Times New Roman" w:cs="Times New Roman" w:eastAsia="Times New Roman" w:hAnsi="Times New Roman"/>
          <w:sz w:val="21"/>
          <w:szCs w:val="21"/>
          <w:color w:val="auto"/>
        </w:rPr>
        <w:t xml:space="preserve"> Beneficial Holding Requirement, the number of shares of Preferred Stock and/or Common Stock beneficially owned by the Investor Parties as of the Closing shall equal (a) the Acquired Shares (as defined below)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(b) the SpinCo Preferred Stock (as defined </w:t>
      </w:r>
      <w:r>
        <w:rPr>
          <w:rFonts w:ascii="Times New Roman" w:cs="Times New Roman" w:eastAsia="Times New Roman" w:hAnsi="Times New Roman"/>
          <w:sz w:val="21"/>
          <w:szCs w:val="21"/>
          <w:color w:val="auto"/>
          <w:highlight w:val="white"/>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-419735</wp:posOffset>
            </wp:positionV>
            <wp:extent cx="7135495" cy="276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5495" cy="27622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transaction or series of related transactions for the purpose of or resulting, directly or indirectly, in</w:t>
      </w:r>
    </w:p>
    <w:p>
      <w:pPr>
        <w:jc w:val="both"/>
        <w:ind w:firstLine="6"/>
        <w:spacing w:after="0" w:line="215" w:lineRule="auto"/>
        <w:tabs>
          <w:tab w:leader="none" w:pos="31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acquisition of all or substantially all of the assets of a Person, or of any line of business or division of a Person, (b) the acquisition of in excess of 50.00% of the capital stock, partnership interests, membership interests or equity of any Person (other than a Person that is a Subsidiary of the Company), but, at the Company’s option, including acquisitions of Equity Securities increasing the ownership of the Company or a Subsidiary of the Company in an existing Subsidiary of the Company, or (c) a merger or consolidation or any other combination with another Person (other than a Person that is already a Subsidiary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or a Subsidiary of the Company is the surviving entity or the surviving entity becomes a Subsidiary of the Company.</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w:t>
      </w:r>
      <w:r>
        <w:rPr>
          <w:rFonts w:ascii="Times New Roman" w:cs="Times New Roman" w:eastAsia="Times New Roman" w:hAnsi="Times New Roman"/>
          <w:sz w:val="21"/>
          <w:szCs w:val="21"/>
          <w:color w:val="auto"/>
        </w:rPr>
        <w:t xml:space="preserve">” means, for any period, the Consolidated Net Income for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40" w:firstLine="632"/>
        <w:spacing w:after="0" w:line="244" w:lineRule="auto"/>
        <w:tabs>
          <w:tab w:leader="none" w:pos="156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and to the extent already deducted (and not added back) in arriving at such Consolidated Net Income (other than in the case of clause (xii) below), the sum of the following amounts for such period:</w:t>
      </w:r>
    </w:p>
    <w:p>
      <w:pPr>
        <w:spacing w:after="0" w:line="142" w:lineRule="exact"/>
        <w:rPr>
          <w:rFonts w:ascii="Times New Roman" w:cs="Times New Roman" w:eastAsia="Times New Roman" w:hAnsi="Times New Roman"/>
          <w:sz w:val="21"/>
          <w:szCs w:val="21"/>
          <w:color w:val="auto"/>
        </w:rPr>
      </w:pPr>
    </w:p>
    <w:p>
      <w:pPr>
        <w:jc w:val="both"/>
        <w:ind w:left="1280" w:firstLine="625"/>
        <w:spacing w:after="0" w:line="217" w:lineRule="auto"/>
        <w:tabs>
          <w:tab w:leader="none" w:pos="219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expense (including, to the extent deducted and not added back in computing Consolidated Net Income, (A) amortization of original issue discount resulting from the issuance of Indebtedness at less than par, (B) all commissions, discounts and other fees and charges owed with respect to letters of credit or bankers’ acceptances,</w:t>
      </w:r>
    </w:p>
    <w:p>
      <w:pPr>
        <w:spacing w:after="0" w:line="2" w:lineRule="exact"/>
        <w:rPr>
          <w:rFonts w:ascii="Times New Roman" w:cs="Times New Roman" w:eastAsia="Times New Roman" w:hAnsi="Times New Roman"/>
          <w:sz w:val="21"/>
          <w:szCs w:val="21"/>
          <w:color w:val="auto"/>
        </w:rPr>
      </w:pPr>
    </w:p>
    <w:p>
      <w:pPr>
        <w:jc w:val="both"/>
        <w:ind w:left="1280"/>
        <w:spacing w:after="0" w:line="2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 non-cash interest payments, (D) the interest component of Capitalized Lease Obligations, (E) net payments, if any, made (less net amounts, if any, received) pursuant to interest rate hedging obligations with respect to Indebtedness, (F) amortization or write-off of deferred financing fees, debt issuance costs, commissions, fees and expenses, including commitment, letter of credit and administrative fees and charges with respect to Indebtedness permitted to be incurred hereunder and (G) any expensing of bridge, commitment and other financing fees), after giving effect to the impact of interest rate risk hedging, and, to the extent not reflected in such interest expense, unused line fees and letter of credit fees payable hereunder,</w:t>
      </w:r>
    </w:p>
    <w:p>
      <w:pPr>
        <w:spacing w:after="0" w:line="149" w:lineRule="exact"/>
        <w:rPr>
          <w:rFonts w:ascii="Times New Roman" w:cs="Times New Roman" w:eastAsia="Times New Roman" w:hAnsi="Times New Roman"/>
          <w:sz w:val="21"/>
          <w:szCs w:val="21"/>
          <w:color w:val="auto"/>
        </w:rPr>
      </w:pPr>
    </w:p>
    <w:p>
      <w:pPr>
        <w:ind w:left="1280" w:firstLine="625"/>
        <w:spacing w:after="0" w:line="244" w:lineRule="auto"/>
        <w:tabs>
          <w:tab w:leader="none" w:pos="2238"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 for taxes based on income, profits or capital, including federal, foreign, state, franchise, excise and similar taxes paid or accrued during such period (including in respect of repatriated funds),</w:t>
      </w:r>
    </w:p>
    <w:p>
      <w:pPr>
        <w:spacing w:after="0" w:line="142" w:lineRule="exact"/>
        <w:rPr>
          <w:rFonts w:ascii="Times New Roman" w:cs="Times New Roman" w:eastAsia="Times New Roman" w:hAnsi="Times New Roman"/>
          <w:sz w:val="21"/>
          <w:szCs w:val="21"/>
          <w:color w:val="auto"/>
        </w:rPr>
      </w:pPr>
    </w:p>
    <w:p>
      <w:pPr>
        <w:jc w:val="both"/>
        <w:ind w:left="1280" w:firstLine="625"/>
        <w:spacing w:after="0" w:line="220" w:lineRule="auto"/>
        <w:tabs>
          <w:tab w:leader="none" w:pos="2305"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depreciation and amortization, including amortization of intangible assets established through purchase accounting and amortization of deferred financing fees or costs (which shall include, without duplication, payments by the Company or its Subsidiaries to Flash Partners Ltd., Flash Alliance Ltd., Flash Forward Ltd. or any other joint venture with Toshiba Corporation or Toshiba Memory Corporation (or any of their Affiliates) with respect to the Company or a Subsidiary of the Company’s 50% (or other) share of such joint venture’s expense related to equipment depreciation),</w:t>
      </w:r>
    </w:p>
    <w:p>
      <w:pPr>
        <w:spacing w:after="0" w:line="149" w:lineRule="exact"/>
        <w:rPr>
          <w:rFonts w:ascii="Times New Roman" w:cs="Times New Roman" w:eastAsia="Times New Roman" w:hAnsi="Times New Roman"/>
          <w:sz w:val="21"/>
          <w:szCs w:val="21"/>
          <w:color w:val="auto"/>
        </w:rPr>
      </w:pPr>
    </w:p>
    <w:p>
      <w:pPr>
        <w:jc w:val="both"/>
        <w:ind w:left="1280" w:firstLine="625"/>
        <w:spacing w:after="0" w:line="231" w:lineRule="auto"/>
        <w:tabs>
          <w:tab w:leader="none" w:pos="2279"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Charges (other than depreciation or amortization expense) related to any equity offering, investment, acquisition, disposition, recapitalization or the incurrence or repayment of Indebtedness (including a refinancing or amendment, waiver or other modification thereof) (whether or not successful),</w:t>
      </w:r>
    </w:p>
    <w:p>
      <w:pPr>
        <w:spacing w:after="0" w:line="146" w:lineRule="exact"/>
        <w:rPr>
          <w:rFonts w:ascii="Times New Roman" w:cs="Times New Roman" w:eastAsia="Times New Roman" w:hAnsi="Times New Roman"/>
          <w:sz w:val="21"/>
          <w:szCs w:val="21"/>
          <w:color w:val="auto"/>
        </w:rPr>
      </w:pPr>
    </w:p>
    <w:p>
      <w:pPr>
        <w:ind w:left="2200" w:hanging="295"/>
        <w:spacing w:after="0"/>
        <w:tabs>
          <w:tab w:leader="none" w:pos="220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9" w:right="339" w:bottom="1440" w:gutter="0" w:footer="0" w:header="0"/>
        </w:sectPr>
      </w:pPr>
    </w:p>
    <w:bookmarkStart w:id="64" w:name="page65"/>
    <w:bookmarkEnd w:id="64"/>
    <w:p>
      <w:pPr>
        <w:ind w:left="160" w:firstLine="625"/>
        <w:spacing w:after="0" w:line="244" w:lineRule="auto"/>
        <w:tabs>
          <w:tab w:leader="none" w:pos="116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extraordinary Charges and (B) unusual or nonrecurring Charges, in each case, to the extent not of a type described in clause (viii),</w:t>
      </w:r>
    </w:p>
    <w:p>
      <w:pPr>
        <w:spacing w:after="0" w:line="142" w:lineRule="exact"/>
        <w:rPr>
          <w:rFonts w:ascii="Times New Roman" w:cs="Times New Roman" w:eastAsia="Times New Roman" w:hAnsi="Times New Roman"/>
          <w:sz w:val="21"/>
          <w:szCs w:val="21"/>
          <w:color w:val="auto"/>
        </w:rPr>
      </w:pPr>
    </w:p>
    <w:p>
      <w:pPr>
        <w:ind w:left="1200" w:hanging="415"/>
        <w:spacing w:after="0"/>
        <w:tabs>
          <w:tab w:leader="none" w:pos="12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0" w:lineRule="exact"/>
        <w:rPr>
          <w:rFonts w:ascii="Times New Roman" w:cs="Times New Roman" w:eastAsia="Times New Roman" w:hAnsi="Times New Roman"/>
          <w:sz w:val="21"/>
          <w:szCs w:val="21"/>
          <w:color w:val="auto"/>
        </w:rPr>
      </w:pPr>
    </w:p>
    <w:p>
      <w:pPr>
        <w:jc w:val="both"/>
        <w:ind w:left="160" w:firstLine="625"/>
        <w:spacing w:after="0" w:line="216" w:lineRule="auto"/>
        <w:tabs>
          <w:tab w:leader="none" w:pos="131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Charges attributable to the undertaking and/or implementation of cost savings initiatives, operating expense reductions and other restructuring, integration or transformational charges (including inventory optimization expenses, business optimization expenses, transaction costs and costs related to the opening, closure, consolidation or separation of facilities and curtailments, costs related to entry into new markets, consulting fees, recruiter fees, signing costs, retention or completion bonuses, transition costs, relocation costs, severance payments, and modifications to pension and post-retirement employee benefit plans);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amounts added back pursuant to this clause (viii), together with any amounts added back pursuant to clause (xii) below and the amount of any Pro Forma Adjustment to Adjusted EBITDA for such period, shall not exceed the greater of $500 million and 15% of Adjusted EBITDA for such period (calculated prior to giving effect to any such add-back),</w:t>
      </w:r>
    </w:p>
    <w:p>
      <w:pPr>
        <w:spacing w:after="0" w:line="154" w:lineRule="exact"/>
        <w:rPr>
          <w:rFonts w:ascii="Times New Roman" w:cs="Times New Roman" w:eastAsia="Times New Roman" w:hAnsi="Times New Roman"/>
          <w:sz w:val="21"/>
          <w:szCs w:val="21"/>
          <w:color w:val="auto"/>
        </w:rPr>
      </w:pPr>
    </w:p>
    <w:p>
      <w:pPr>
        <w:ind w:left="160" w:firstLine="625"/>
        <w:spacing w:after="0" w:line="244" w:lineRule="auto"/>
        <w:tabs>
          <w:tab w:leader="none" w:pos="1187"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minority interest expense consisting of subsidiary income attributable to minority Equity Securities of any non-Wholly-owned Subsidiary held by third parties,</w:t>
      </w:r>
    </w:p>
    <w:p>
      <w:pPr>
        <w:spacing w:after="0" w:line="142" w:lineRule="exact"/>
        <w:rPr>
          <w:rFonts w:ascii="Times New Roman" w:cs="Times New Roman" w:eastAsia="Times New Roman" w:hAnsi="Times New Roman"/>
          <w:sz w:val="21"/>
          <w:szCs w:val="21"/>
          <w:color w:val="auto"/>
        </w:rPr>
      </w:pPr>
    </w:p>
    <w:p>
      <w:pPr>
        <w:ind w:left="1080" w:hanging="295"/>
        <w:spacing w:after="0"/>
        <w:tabs>
          <w:tab w:leader="none" w:pos="10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0" w:lineRule="exact"/>
        <w:rPr>
          <w:rFonts w:ascii="Times New Roman" w:cs="Times New Roman" w:eastAsia="Times New Roman" w:hAnsi="Times New Roman"/>
          <w:sz w:val="21"/>
          <w:szCs w:val="21"/>
          <w:color w:val="auto"/>
        </w:rPr>
      </w:pPr>
    </w:p>
    <w:p>
      <w:pPr>
        <w:ind w:left="1140" w:hanging="355"/>
        <w:spacing w:after="0"/>
        <w:tabs>
          <w:tab w:leader="none" w:pos="11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0" w:lineRule="exact"/>
        <w:rPr>
          <w:rFonts w:ascii="Times New Roman" w:cs="Times New Roman" w:eastAsia="Times New Roman" w:hAnsi="Times New Roman"/>
          <w:sz w:val="21"/>
          <w:szCs w:val="21"/>
          <w:color w:val="auto"/>
        </w:rPr>
      </w:pPr>
    </w:p>
    <w:p>
      <w:pPr>
        <w:jc w:val="both"/>
        <w:ind w:left="160" w:firstLine="625"/>
        <w:spacing w:after="0" w:line="216" w:lineRule="auto"/>
        <w:tabs>
          <w:tab w:leader="none" w:pos="123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expected cost savings, operating expense reductions, restructuring charges and expenses and synergies (net of the amount of actual amounts realized) reasonably identifiable and factually supportable and reasonably anticipated to be realized within 18 months of the date thereof (in the good faith determination of the Company) related to permitted asset sales, acquisitions, investments, dispositions, operating improvements, restructurings, cost savings initiatives and certain other similar initiatives and specified transactions conducted after the Original Issue Date (as defined in the Certificate of Designations);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amounts added back pursuant to this clause (xii), together with any amounts added back pursuant to clause (viii) above and the amount of any Pro Forma Adjustment to Adjusted EBITDA for such period, shall not exceed the greater of $500 million and 15% of Adjusted EBITDA for such period (calculated prior to giving effect to any such add-back),</w:t>
      </w:r>
    </w:p>
    <w:p>
      <w:pPr>
        <w:spacing w:after="0" w:line="154" w:lineRule="exact"/>
        <w:rPr>
          <w:rFonts w:ascii="Times New Roman" w:cs="Times New Roman" w:eastAsia="Times New Roman" w:hAnsi="Times New Roman"/>
          <w:sz w:val="21"/>
          <w:szCs w:val="21"/>
          <w:color w:val="auto"/>
        </w:rPr>
      </w:pPr>
    </w:p>
    <w:p>
      <w:pPr>
        <w:jc w:val="both"/>
        <w:ind w:left="160" w:firstLine="625"/>
        <w:spacing w:after="0" w:line="222" w:lineRule="auto"/>
        <w:tabs>
          <w:tab w:leader="none" w:pos="130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 fees, costs and expenses incurred to the extent reimbursable by third parties pursuant to indemnification provisions or insurance;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in good faith expects to receive reimbursement for such fees, costs and expenses within the next four (4) fiscal quarters (it being understood that to the extent not actually received within such fiscal quarters, such reimbursement amounts shall be deducted in calculating Adjusted EBITDA at the end of such four fiscal quarter period),</w:t>
      </w:r>
    </w:p>
    <w:p>
      <w:pPr>
        <w:spacing w:after="0" w:line="149" w:lineRule="exact"/>
        <w:rPr>
          <w:rFonts w:ascii="Times New Roman" w:cs="Times New Roman" w:eastAsia="Times New Roman" w:hAnsi="Times New Roman"/>
          <w:sz w:val="21"/>
          <w:szCs w:val="21"/>
          <w:color w:val="auto"/>
        </w:rPr>
      </w:pPr>
    </w:p>
    <w:p>
      <w:pPr>
        <w:ind w:left="160" w:firstLine="625"/>
        <w:spacing w:after="0" w:line="244" w:lineRule="auto"/>
        <w:tabs>
          <w:tab w:leader="none" w:pos="13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earn-out obligations incurred in connection with any Acquisitions or other investment and paid or accrued during the applicable period and on similar acquisitions,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65" w:right="339" w:bottom="1440" w:gutter="0" w:footer="0" w:header="0"/>
        </w:sectPr>
      </w:pPr>
    </w:p>
    <w:bookmarkStart w:id="65" w:name="page66"/>
    <w:bookmarkEnd w:id="65"/>
    <w:p>
      <w:pPr>
        <w:jc w:val="both"/>
        <w:ind w:left="1280" w:firstLine="625"/>
        <w:spacing w:after="0" w:line="222" w:lineRule="auto"/>
        <w:tabs>
          <w:tab w:leader="none" w:pos="232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casualty or business interruption insurance in an amount representing the losses for the applicable period that such proceeds are intended to replace (whether or not yet received so long as the Company in good faith expects to receive the same within the next four (4) fiscal quarters (it being understood that to the extent not actually received within such fiscal quarters, such proceeds shall be deducted in calculating Adjusted EBITDA for such fiscal quarters in the future)); </w:t>
      </w:r>
      <w:r>
        <w:rPr>
          <w:rFonts w:ascii="Times New Roman" w:cs="Times New Roman" w:eastAsia="Times New Roman" w:hAnsi="Times New Roman"/>
          <w:sz w:val="21"/>
          <w:szCs w:val="21"/>
          <w:i w:val="1"/>
          <w:iCs w:val="1"/>
          <w:color w:val="auto"/>
        </w:rPr>
        <w:t>less</w:t>
      </w:r>
    </w:p>
    <w:p>
      <w:pPr>
        <w:spacing w:after="0" w:line="149" w:lineRule="exact"/>
        <w:rPr>
          <w:rFonts w:ascii="Times New Roman" w:cs="Times New Roman" w:eastAsia="Times New Roman" w:hAnsi="Times New Roman"/>
          <w:sz w:val="21"/>
          <w:szCs w:val="21"/>
          <w:color w:val="auto"/>
        </w:rPr>
      </w:pPr>
    </w:p>
    <w:p>
      <w:pPr>
        <w:ind w:left="640" w:firstLine="632"/>
        <w:spacing w:after="0" w:line="244" w:lineRule="auto"/>
        <w:tabs>
          <w:tab w:leader="none" w:pos="161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and to the extent included in arriving at such Consolidated Net Income, the sum of the following amounts for such period:</w:t>
      </w:r>
    </w:p>
    <w:p>
      <w:pPr>
        <w:spacing w:after="0" w:line="142" w:lineRule="exact"/>
        <w:rPr>
          <w:rFonts w:ascii="Times New Roman" w:cs="Times New Roman" w:eastAsia="Times New Roman" w:hAnsi="Times New Roman"/>
          <w:sz w:val="21"/>
          <w:szCs w:val="21"/>
          <w:color w:val="auto"/>
        </w:rPr>
      </w:pPr>
    </w:p>
    <w:p>
      <w:pPr>
        <w:ind w:left="2160" w:hanging="255"/>
        <w:spacing w:after="0"/>
        <w:tabs>
          <w:tab w:leader="none" w:pos="216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gains and unusual or non-recurring gains, and</w:t>
      </w:r>
    </w:p>
    <w:p>
      <w:pPr>
        <w:spacing w:after="0" w:line="180" w:lineRule="exact"/>
        <w:rPr>
          <w:rFonts w:ascii="Times New Roman" w:cs="Times New Roman" w:eastAsia="Times New Roman" w:hAnsi="Times New Roman"/>
          <w:sz w:val="21"/>
          <w:szCs w:val="21"/>
          <w:color w:val="auto"/>
        </w:rPr>
      </w:pPr>
    </w:p>
    <w:p>
      <w:pPr>
        <w:jc w:val="both"/>
        <w:ind w:left="1280" w:firstLine="625"/>
        <w:spacing w:after="0" w:line="222" w:lineRule="auto"/>
        <w:tabs>
          <w:tab w:leader="none" w:pos="2262"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non-cash gains (excluding any non-cash gain to the extent it represents the reversal of an accrual or reserve for a potential cash item that reduced Adjusted EBITDA in any prior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in each case, that, if any non-cash gain represents an accrual or asset for future cash items in any future period, the cash payment in respect thereof shall in such future period be added to Adjusted EBITDA for such period to the extent excluded from Adjusted EBITDA in any prior period,</w:t>
      </w:r>
    </w:p>
    <w:p>
      <w:pPr>
        <w:spacing w:after="0" w:line="149" w:lineRule="exact"/>
        <w:rPr>
          <w:rFonts w:ascii="Times New Roman" w:cs="Times New Roman" w:eastAsia="Times New Roman" w:hAnsi="Times New Roman"/>
          <w:sz w:val="21"/>
          <w:szCs w:val="21"/>
          <w:color w:val="auto"/>
        </w:rPr>
      </w:pPr>
    </w:p>
    <w:p>
      <w:pPr>
        <w:ind w:left="1560" w:hanging="288"/>
        <w:spacing w:after="0"/>
        <w:tabs>
          <w:tab w:leader="none" w:pos="15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increased or decreased by (without duplication):</w:t>
      </w:r>
    </w:p>
    <w:p>
      <w:pPr>
        <w:spacing w:after="0" w:line="180" w:lineRule="exact"/>
        <w:rPr>
          <w:rFonts w:ascii="Times New Roman" w:cs="Times New Roman" w:eastAsia="Times New Roman" w:hAnsi="Times New Roman"/>
          <w:sz w:val="21"/>
          <w:szCs w:val="21"/>
          <w:color w:val="auto"/>
        </w:rPr>
      </w:pPr>
    </w:p>
    <w:p>
      <w:pPr>
        <w:jc w:val="both"/>
        <w:ind w:left="1280" w:firstLine="625"/>
        <w:spacing w:after="0" w:line="231" w:lineRule="auto"/>
        <w:tabs>
          <w:tab w:leader="none" w:pos="2177"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net gain or loss resulting in such period from Hedging Obligations and the application of Accounting Standards Codification Topic 815 and International Accounting Standards No. 39 and their respective related pronouncements and interpretations;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as applicable,</w:t>
      </w:r>
    </w:p>
    <w:p>
      <w:pPr>
        <w:spacing w:after="0" w:line="146" w:lineRule="exact"/>
        <w:rPr>
          <w:rFonts w:ascii="Times New Roman" w:cs="Times New Roman" w:eastAsia="Times New Roman" w:hAnsi="Times New Roman"/>
          <w:sz w:val="21"/>
          <w:szCs w:val="21"/>
          <w:color w:val="auto"/>
        </w:rPr>
      </w:pPr>
    </w:p>
    <w:p>
      <w:pPr>
        <w:jc w:val="both"/>
        <w:ind w:left="1280" w:firstLine="625"/>
        <w:spacing w:after="0" w:line="231" w:lineRule="auto"/>
        <w:tabs>
          <w:tab w:leader="none" w:pos="223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gain or loss resulting in such period from currency translation gains or losses related to currency remeasurements of indebtedness (including any net loss or gain resulting from hedge agreements for currency exchange risk),</w:t>
      </w:r>
    </w:p>
    <w:p>
      <w:pPr>
        <w:spacing w:after="0" w:line="146" w:lineRule="exact"/>
        <w:rPr>
          <w:rFonts w:ascii="Times New Roman" w:cs="Times New Roman" w:eastAsia="Times New Roman" w:hAnsi="Times New Roman"/>
          <w:sz w:val="21"/>
          <w:szCs w:val="21"/>
          <w:color w:val="auto"/>
        </w:rPr>
      </w:pPr>
    </w:p>
    <w:p>
      <w:pPr>
        <w:jc w:val="both"/>
        <w:ind w:left="1280" w:firstLine="625"/>
        <w:spacing w:after="0" w:line="225" w:lineRule="auto"/>
        <w:tabs>
          <w:tab w:leader="none" w:pos="2283"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and</w:t>
      </w:r>
    </w:p>
    <w:p>
      <w:pPr>
        <w:spacing w:after="0" w:line="149" w:lineRule="exact"/>
        <w:rPr>
          <w:rFonts w:ascii="Times New Roman" w:cs="Times New Roman" w:eastAsia="Times New Roman" w:hAnsi="Times New Roman"/>
          <w:sz w:val="21"/>
          <w:szCs w:val="21"/>
          <w:color w:val="auto"/>
        </w:rPr>
      </w:pPr>
    </w:p>
    <w:p>
      <w:pPr>
        <w:ind w:left="1280" w:firstLine="625"/>
        <w:spacing w:after="0" w:line="244" w:lineRule="auto"/>
        <w:tabs>
          <w:tab w:leader="none" w:pos="234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adjustments resulting from the application of Accounting Standards Codification Topic 460, Guarantees, or any comparable regulation;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each case, as determined on a consolidated basis for the Company and its Subsidiaries in accordance with GAAP.</w:t>
      </w:r>
    </w:p>
    <w:p>
      <w:pPr>
        <w:spacing w:after="0" w:line="181"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 that the Company and its Subsidiaries shall not be deemed to be Affiliates of any Investor Party or any of its Affiliates, and (ii) other than in the case of the definitions of “Third Party”, “Investor Party” and “Investor Related Party”,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5.08(j)</w:t>
      </w:r>
      <w:r>
        <w:rPr>
          <w:rFonts w:ascii="Times New Roman" w:cs="Times New Roman" w:eastAsia="Times New Roman" w:hAnsi="Times New Roman"/>
          <w:sz w:val="21"/>
          <w:szCs w:val="21"/>
          <w:color w:val="auto"/>
          <w:highlight w:val="white"/>
        </w:rPr>
        <w:t>, Section 5.08(k)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7.13</w:t>
      </w:r>
      <w:r>
        <w:rPr>
          <w:rFonts w:ascii="Times New Roman" w:cs="Times New Roman" w:eastAsia="Times New Roman" w:hAnsi="Times New Roman"/>
          <w:sz w:val="21"/>
          <w:szCs w:val="21"/>
          <w:color w:val="auto"/>
        </w:rPr>
        <w:t>, in no event shall any of the Investor Parties or any of their respective Subsidiaries be considered an Affiliate of any portfolio company or investment fund affiliated with or managed by affiliates of Apollo, nor shall any other portfolio company or investment fund affiliated with or managed by affiliates of Apollo be considered to be an Affiliate of an Investor Party or any of their respective Affiliates.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-563245</wp:posOffset>
            </wp:positionV>
            <wp:extent cx="8261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66" w:name="page67"/>
    <w:bookmarkEnd w:id="66"/>
    <w:p>
      <w:pPr>
        <w:jc w:val="both"/>
        <w:spacing w:after="0" w:line="231" w:lineRule="auto"/>
        <w:rPr>
          <w:sz w:val="20"/>
          <w:szCs w:val="20"/>
          <w:color w:val="auto"/>
        </w:rPr>
      </w:pPr>
      <w:r>
        <w:rPr>
          <w:rFonts w:ascii="Times New Roman" w:cs="Times New Roman" w:eastAsia="Times New Roman" w:hAnsi="Times New Roman"/>
          <w:sz w:val="21"/>
          <w:szCs w:val="21"/>
          <w:color w:val="auto"/>
        </w:rPr>
        <w:t>purpose,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with its correlative meanings,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Apollo</w:t>
      </w:r>
      <w:r>
        <w:rPr>
          <w:rFonts w:ascii="Times New Roman" w:cs="Times New Roman" w:eastAsia="Times New Roman" w:hAnsi="Times New Roman"/>
          <w:sz w:val="21"/>
          <w:szCs w:val="21"/>
          <w:color w:val="auto"/>
        </w:rPr>
        <w:t>” means Apollo Global Management, Inc.</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Apollo Funds</w:t>
      </w:r>
      <w:r>
        <w:rPr>
          <w:rFonts w:ascii="Times New Roman" w:cs="Times New Roman" w:eastAsia="Times New Roman" w:hAnsi="Times New Roman"/>
          <w:sz w:val="21"/>
          <w:szCs w:val="21"/>
          <w:color w:val="auto"/>
        </w:rPr>
        <w:t>” means Apollo Investment Fund X, L.P., Apollo Overseas Partners (Delaware) X, L.P., Apollo Overseas Partners (Delaware 892) X, L.P., Apollo Overseas Partners X, L.P. and Apollo Overseas Partners (Lux) X, SCSp.</w:t>
      </w:r>
    </w:p>
    <w:p>
      <w:pPr>
        <w:spacing w:after="0" w:line="142"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as-converted basis</w:t>
      </w:r>
      <w:r>
        <w:rPr>
          <w:rFonts w:ascii="Times New Roman" w:cs="Times New Roman" w:eastAsia="Times New Roman" w:hAnsi="Times New Roman"/>
          <w:sz w:val="21"/>
          <w:szCs w:val="21"/>
          <w:color w:val="auto"/>
        </w:rPr>
        <w:t>” means (i) with respect to the outstanding shares of Common Stock as of any date, all outstanding shares of Common Stock calculated on a basis in which all shares of Common Stock issuable upon conversion of the outstanding shares of Preferred Stock (at the Conversion Price in effect on such date as set forth in the Certificate of Designations) are assumed to be outstanding as of such date and (ii) with respect to any outstanding shares of Preferred Stock as of any date, the number of shares of Common Stock issuable upon conversion of such shares of Preferred Stock on such date (at the Conversion Price in effect on such date as set forth in the Certificate of Designations).</w:t>
      </w:r>
    </w:p>
    <w:p>
      <w:pPr>
        <w:spacing w:after="0" w:line="149"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beneficial ownership of</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beneficially owning</w:t>
      </w:r>
      <w:r>
        <w:rPr>
          <w:rFonts w:ascii="Times New Roman" w:cs="Times New Roman" w:eastAsia="Times New Roman" w:hAnsi="Times New Roman"/>
          <w:sz w:val="21"/>
          <w:szCs w:val="21"/>
          <w:color w:val="auto"/>
        </w:rPr>
        <w:t xml:space="preserve">” any securities shall have the meaning set forth in Rule 13d-3 of the rules and regulations under the Exchange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Person shall be deemed to beneficially own any securities that such Person has the right to acquire, whether or not such right is exercisable immediately (including assuming conversion of all Preferred Stock, if any, owned by such Person to Common Stock).</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except a Saturday, a Sunday or other day on which the SEC or banks in the City of New York are authorized or required by Law to be closed.</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xml:space="preserve">” means any lease of Property, which in accordance with GAAP, is required to be capitalized on the balance sheet of the lessee;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the foregoing, only those leases and obligations that would constitute Capital Leases prior to the implementation of Accounting Standards Codification 842, Leases, will be considered to be Capital Leases for purposes of this Agreement.</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Capitalized Lease Obligation</w:t>
      </w:r>
      <w:r>
        <w:rPr>
          <w:rFonts w:ascii="Times New Roman" w:cs="Times New Roman" w:eastAsia="Times New Roman" w:hAnsi="Times New Roman"/>
          <w:sz w:val="21"/>
          <w:szCs w:val="21"/>
          <w:color w:val="auto"/>
        </w:rPr>
        <w:t>” means, for any Person, the amount of the liability shown on the balance sheet of such Person in respect of a Capital Lease determined in accordance with GAAP.</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means any charge, expense, cost, accrual or reserve of any kind.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United States Internal Revenue Code of 1986, as amended.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par value $0.01 per share, of the Company.</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Charter Documents</w:t>
      </w:r>
      <w:r>
        <w:rPr>
          <w:rFonts w:ascii="Times New Roman" w:cs="Times New Roman" w:eastAsia="Times New Roman" w:hAnsi="Times New Roman"/>
          <w:sz w:val="21"/>
          <w:szCs w:val="21"/>
          <w:color w:val="auto"/>
        </w:rPr>
        <w:t>” means the Company’s certificate of incorporation and bylaws, each as amended to the date of this Agreement.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ESPP</w:t>
      </w:r>
      <w:r>
        <w:rPr>
          <w:rFonts w:ascii="Times New Roman" w:cs="Times New Roman" w:eastAsia="Times New Roman" w:hAnsi="Times New Roman"/>
          <w:sz w:val="21"/>
          <w:szCs w:val="21"/>
          <w:color w:val="auto"/>
        </w:rPr>
        <w:t>” means the Amended and Restated 2005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67" w:name="page68"/>
    <w:bookmarkEnd w:id="67"/>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Plan</w:t>
      </w:r>
      <w:r>
        <w:rPr>
          <w:rFonts w:ascii="Times New Roman" w:cs="Times New Roman" w:eastAsia="Times New Roman" w:hAnsi="Times New Roman"/>
          <w:sz w:val="21"/>
          <w:szCs w:val="21"/>
          <w:color w:val="auto"/>
        </w:rPr>
        <w:t>” means each “employee benefit plan” (as defined in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and the Company ESPP), deferred compensation or other benefit or compensation, in each case, that is sponsored, maintained or contributed to by the Company or any of its Subsidiaries or to which the Company or any of its Subsidiaries contributes or is obligated to contribute to, or has or may have any current or contingent liability or obligation, including on account of an ERISA Affiliate, other than any plan, program, policy, agreement or arrangement sponsored and administered by a Governmental Authority.</w:t>
      </w:r>
    </w:p>
    <w:p>
      <w:pPr>
        <w:spacing w:after="0" w:line="153"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Related Party</w:t>
      </w:r>
      <w:r>
        <w:rPr>
          <w:rFonts w:ascii="Times New Roman" w:cs="Times New Roman" w:eastAsia="Times New Roman" w:hAnsi="Times New Roman"/>
          <w:sz w:val="21"/>
          <w:szCs w:val="21"/>
          <w:color w:val="auto"/>
        </w:rPr>
        <w:t>” means the Company and its former, current or future Affiliates and any of the foregoing’s respective former, current or future, direct or indirect, officers, other fiduciary, directors, employees, affiliates, stockholders, equityholders, managers, members, partners, agents, attorneys, advisors, lenders or other representatives or any of the foregoing’s respective successors or assigns.</w:t>
      </w:r>
    </w:p>
    <w:p>
      <w:pPr>
        <w:spacing w:after="0" w:line="150"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Stock Plans</w:t>
      </w:r>
      <w:r>
        <w:rPr>
          <w:rFonts w:ascii="Times New Roman" w:cs="Times New Roman" w:eastAsia="Times New Roman" w:hAnsi="Times New Roman"/>
          <w:sz w:val="21"/>
          <w:szCs w:val="21"/>
          <w:color w:val="auto"/>
        </w:rPr>
        <w:t>” means the Amended and Restated Western Digital Corporation 2021 Long-Term Incentive Plan, the Western Digital Corporation Amended and Restated 2017 Performance Incentive Plan, the 2021 Long-Term Incentive Plan Non-Employee Director Restricted Stock Unit Grant Program, the SanDisk Corporation 2013 Incentive Plan, the Virident Systems, Inc. 2006 Stock Plan and the Amended and Restated Western Digital Corporation Non-Employee Directors Stock For Fees Plan, each as may be amended from time to time.</w:t>
      </w:r>
    </w:p>
    <w:p>
      <w:pPr>
        <w:spacing w:after="0" w:line="149"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Confidentiality Agreement</w:t>
      </w:r>
      <w:r>
        <w:rPr>
          <w:rFonts w:ascii="Times New Roman" w:cs="Times New Roman" w:eastAsia="Times New Roman" w:hAnsi="Times New Roman"/>
          <w:sz w:val="21"/>
          <w:szCs w:val="21"/>
          <w:color w:val="auto"/>
        </w:rPr>
        <w:t>” means that certain letter agreement between Apollo Management IX, L.P. and the Company dated as of March 14, 2022, as may be amended from time to time in accordance with its terms.</w:t>
      </w:r>
    </w:p>
    <w:p>
      <w:pPr>
        <w:spacing w:after="0" w:line="142"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means, for any period, the net income (loss) attributable to the Company and its Subsidiaries for such period determined on a consolidated basis in accordance with GAAP, excluding, without duplication, (a) the cumulative effect of a change in accounting principles during such period to the extent included in net income (loss), (b) the income (or loss) of any Person in which any other Person has an ownership interest, except to the extent of the amount of dividends or other distributions actually paid to the Company or any of its Subsidiaries by such Person during such period, (c) the income of any Subsidiary of the Company to the extent that the declaration or payment of dividends or similar distributions by that Subsidiary of that income is subject to an absolute prohibition during such period by operation of the terms of its charter or any agreement, instrument, judgment, decree, order, statute, rule or governmental regulation applicable to that Subsidiary (other than any prohibition that has been waived or otherwise released), except to the extent of the amount of dividends or other distributions actually paid by such Subsidiary or any other Subsidiary of the Company that is not subject to such prohibitions, (d) the income (or loss) of any Person accrued prior to the date it becomes a Subsidiary of the Company or is merged into or consolidated with the Company or any of its Subsidiaries or that Person’s assets are acquired by the Company or any of its Subsidiaries (except as provided in the definition of “Pro Forma Basis”), (e) after tax gains or Charges (less all fees and expenses chargeable thereto) attributable to any asset dispositions outside the ordinary course of business (including asset retirement costs) or of returned surplus assets of any employee benefit plan, (f) any net gains or Charges with respect to (i) disposed, abandoned, divested and/or discontinued assets, properties or operations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68" w:name="page69"/>
    <w:bookmarkEnd w:id="68"/>
    <w:p>
      <w:pPr>
        <w:jc w:val="both"/>
        <w:spacing w:after="0" w:line="222" w:lineRule="auto"/>
        <w:rPr>
          <w:sz w:val="20"/>
          <w:szCs w:val="20"/>
          <w:color w:val="auto"/>
        </w:rPr>
      </w:pPr>
      <w:r>
        <w:rPr>
          <w:rFonts w:ascii="Times New Roman" w:cs="Times New Roman" w:eastAsia="Times New Roman" w:hAnsi="Times New Roman"/>
          <w:sz w:val="21"/>
          <w:szCs w:val="21"/>
          <w:color w:val="auto"/>
        </w:rPr>
        <w:t>assets, properties or operations pending the disposal, abandonment, divestiture and/or termination thereof) and (ii) facilities that have been closed during such period, (g) any net income or loss (less all fees and expenses or charges related thereto) attributable to the early extinguishment of Indebtedness, hedging obligations or other derivative instruments and (h) any write-off or amortization made in such period of deferred financing costs and premiums paid or other expenses incurred directly in connection with any early extinguishment of Indebtedness.</w:t>
      </w:r>
    </w:p>
    <w:p>
      <w:pPr>
        <w:spacing w:after="0" w:line="149"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Total Leverage Ratio</w:t>
      </w:r>
      <w:r>
        <w:rPr>
          <w:rFonts w:ascii="Times New Roman" w:cs="Times New Roman" w:eastAsia="Times New Roman" w:hAnsi="Times New Roman"/>
          <w:sz w:val="21"/>
          <w:szCs w:val="21"/>
          <w:color w:val="auto"/>
        </w:rPr>
        <w:t>” means the quotient of (a) the total consolidated amount of Indebtedness of the Company and its consolidated Subsidiaries under clauses (a), (c), (d) and (e) of such definition, minus the unrestricted cash and cash equivalents of the Company and its consolidated Subsidiaries, divided by (b) the Company’s consolidated Adjusted EBITDA for the last four (4) fiscal quarters for which internal financial statements are available.</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Assets</w:t>
      </w:r>
      <w:r>
        <w:rPr>
          <w:rFonts w:ascii="Times New Roman" w:cs="Times New Roman" w:eastAsia="Times New Roman" w:hAnsi="Times New Roman"/>
          <w:sz w:val="21"/>
          <w:szCs w:val="21"/>
          <w:color w:val="auto"/>
        </w:rPr>
        <w:t>” means, at any time, all assets that would, in conformity with GAAP, be set forth under the caption “total assets” (or any like caption) on a consolidated balance sheet of the Borrower and its Subsidiaries at such date.</w:t>
      </w:r>
    </w:p>
    <w:p>
      <w:pPr>
        <w:spacing w:after="0" w:line="138"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Contingent Obligation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means as to any Person, any obligation of such Person guaranteeing any Indebtedness (“</w:t>
      </w:r>
      <w:r>
        <w:rPr>
          <w:rFonts w:ascii="Times New Roman" w:cs="Times New Roman" w:eastAsia="Times New Roman" w:hAnsi="Times New Roman"/>
          <w:sz w:val="21"/>
          <w:szCs w:val="21"/>
          <w:i w:val="1"/>
          <w:iCs w:val="1"/>
          <w:color w:val="auto"/>
        </w:rPr>
        <w:t>primary obligations</w:t>
      </w:r>
      <w:r>
        <w:rPr>
          <w:rFonts w:ascii="Times New Roman" w:cs="Times New Roman" w:eastAsia="Times New Roman" w:hAnsi="Times New Roman"/>
          <w:sz w:val="21"/>
          <w:szCs w:val="21"/>
          <w:color w:val="auto"/>
        </w:rPr>
        <w:t>”) of any other Person (the “</w:t>
      </w:r>
      <w:r>
        <w:rPr>
          <w:rFonts w:ascii="Times New Roman" w:cs="Times New Roman" w:eastAsia="Times New Roman" w:hAnsi="Times New Roman"/>
          <w:sz w:val="21"/>
          <w:szCs w:val="21"/>
          <w:i w:val="1"/>
          <w:iCs w:val="1"/>
          <w:color w:val="auto"/>
        </w:rPr>
        <w:t>primary obligor</w:t>
      </w:r>
      <w:r>
        <w:rPr>
          <w:rFonts w:ascii="Times New Roman" w:cs="Times New Roman" w:eastAsia="Times New Roman" w:hAnsi="Times New Roman"/>
          <w:sz w:val="21"/>
          <w:szCs w:val="21"/>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Contingent Obligation shall not include endorsements of instruments for deposit or collection in 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Conversion Price</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Convertible Notes</w:t>
      </w:r>
      <w:r>
        <w:rPr>
          <w:rFonts w:ascii="Times New Roman" w:cs="Times New Roman" w:eastAsia="Times New Roman" w:hAnsi="Times New Roman"/>
          <w:sz w:val="21"/>
          <w:szCs w:val="21"/>
          <w:color w:val="auto"/>
        </w:rPr>
        <w:t>” means $1,100,000,000 of the Company’s 1.50% Convertible Senior Notes due 2024 and any successor debt securities issued to refinance the Convertible Notes.</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means the Amended and Restated Loan Agreement, dated as of January 7, 2022 (as amended by Amendment No. 1, dated as of December 23, 2022 and as further amended, modified or restated from time to time), among the Company, the various institutions party thereto from time to time and J.P. Morgan Chase Bank, N.A., as administrative agent.</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Delayed Draw Facility</w:t>
      </w:r>
      <w:r>
        <w:rPr>
          <w:rFonts w:ascii="Times New Roman" w:cs="Times New Roman" w:eastAsia="Times New Roman" w:hAnsi="Times New Roman"/>
          <w:sz w:val="21"/>
          <w:szCs w:val="21"/>
          <w:color w:val="auto"/>
        </w:rPr>
        <w:t>” means that certain Loan Agreement, dated as of January 25, 2023 (as amended, modified or restated from time to time), among the Company, the various institutions party thereto from time to time and J.P. 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69" w:name="page70"/>
    <w:bookmarkEnd w:id="69"/>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means the Delaware General Corporation Law, as amended, supplemented or restated from time to time.</w:t>
      </w:r>
    </w:p>
    <w:p>
      <w:pPr>
        <w:spacing w:after="0" w:line="181"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Elliott Transaction Documents</w:t>
      </w:r>
      <w:r>
        <w:rPr>
          <w:rFonts w:ascii="Times New Roman" w:cs="Times New Roman" w:eastAsia="Times New Roman" w:hAnsi="Times New Roman"/>
          <w:sz w:val="21"/>
          <w:szCs w:val="21"/>
          <w:color w:val="auto"/>
        </w:rPr>
        <w:t>” means, collectively, the (a) Investment Agreement, dated as of the date hereof (the “</w:t>
      </w:r>
      <w:r>
        <w:rPr>
          <w:rFonts w:ascii="Times New Roman" w:cs="Times New Roman" w:eastAsia="Times New Roman" w:hAnsi="Times New Roman"/>
          <w:sz w:val="21"/>
          <w:szCs w:val="21"/>
          <w:u w:val="single" w:color="auto"/>
          <w:color w:val="auto"/>
        </w:rPr>
        <w:t>Elliott Investment Agreement</w:t>
      </w:r>
      <w:r>
        <w:rPr>
          <w:rFonts w:ascii="Times New Roman" w:cs="Times New Roman" w:eastAsia="Times New Roman" w:hAnsi="Times New Roman"/>
          <w:sz w:val="21"/>
          <w:szCs w:val="21"/>
          <w:color w:val="auto"/>
        </w:rPr>
        <w:t>”), by and among the Company, Elliott Associates, L.P., a Delaware limited partnership (“</w:t>
      </w:r>
      <w:r>
        <w:rPr>
          <w:rFonts w:ascii="Times New Roman" w:cs="Times New Roman" w:eastAsia="Times New Roman" w:hAnsi="Times New Roman"/>
          <w:sz w:val="21"/>
          <w:szCs w:val="21"/>
          <w:u w:val="single" w:color="auto"/>
          <w:color w:val="auto"/>
        </w:rPr>
        <w:t>EALP</w:t>
      </w:r>
      <w:r>
        <w:rPr>
          <w:rFonts w:ascii="Times New Roman" w:cs="Times New Roman" w:eastAsia="Times New Roman" w:hAnsi="Times New Roman"/>
          <w:sz w:val="21"/>
          <w:szCs w:val="21"/>
          <w:color w:val="auto"/>
        </w:rPr>
        <w:t>”), and Elliott International, L.P., a Cayman Islands limited partnership (“</w:t>
      </w:r>
      <w:r>
        <w:rPr>
          <w:rFonts w:ascii="Times New Roman" w:cs="Times New Roman" w:eastAsia="Times New Roman" w:hAnsi="Times New Roman"/>
          <w:sz w:val="21"/>
          <w:szCs w:val="21"/>
          <w:u w:val="single" w:color="auto"/>
          <w:color w:val="auto"/>
        </w:rPr>
        <w:t>EILP</w:t>
      </w:r>
      <w:r>
        <w:rPr>
          <w:rFonts w:ascii="Times New Roman" w:cs="Times New Roman" w:eastAsia="Times New Roman" w:hAnsi="Times New Roman"/>
          <w:sz w:val="21"/>
          <w:szCs w:val="21"/>
          <w:color w:val="auto"/>
        </w:rPr>
        <w:t>” and, together with EALP and their respective successors and any Affiliate that becomes a party to the Elliott Investment Agreement pursuant to Section 7.03 thereof, the “</w:t>
      </w:r>
      <w:r>
        <w:rPr>
          <w:rFonts w:ascii="Times New Roman" w:cs="Times New Roman" w:eastAsia="Times New Roman" w:hAnsi="Times New Roman"/>
          <w:sz w:val="21"/>
          <w:szCs w:val="21"/>
          <w:u w:val="single" w:color="auto"/>
          <w:color w:val="auto"/>
        </w:rPr>
        <w:t>Elliott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Investors</w:t>
      </w:r>
      <w:r>
        <w:rPr>
          <w:rFonts w:ascii="Times New Roman" w:cs="Times New Roman" w:eastAsia="Times New Roman" w:hAnsi="Times New Roman"/>
          <w:sz w:val="21"/>
          <w:szCs w:val="21"/>
          <w:color w:val="auto"/>
        </w:rPr>
        <w:t>”, (b) Certificate of Designations, and (c) Registration Rights Agreement.</w:t>
      </w:r>
    </w:p>
    <w:p>
      <w:pPr>
        <w:spacing w:after="0" w:line="1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with respect to the Company or any of its Subsidiaries, any member of any group of organizations described in Section 414(b), (c), (m), (n) or (o) of the Code of which the Company or such Subsidiary is a member.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the rules and regulations promulgated thereunder.</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with respect to any security or other property, the fair market value of such security or other property as reasonably determined in good faith by a majority of the Board, or an authorized committee thereof.</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Fall-Away of Board Rights</w:t>
      </w:r>
      <w:r>
        <w:rPr>
          <w:rFonts w:ascii="Times New Roman" w:cs="Times New Roman" w:eastAsia="Times New Roman" w:hAnsi="Times New Roman"/>
          <w:sz w:val="21"/>
          <w:szCs w:val="21"/>
          <w:color w:val="auto"/>
        </w:rPr>
        <w:t>” means the first day on which the 50% Beneficial Holding Requirement is not satisfied.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Inc.</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Flash Business</w:t>
      </w:r>
      <w:r>
        <w:rPr>
          <w:rFonts w:ascii="Times New Roman" w:cs="Times New Roman" w:eastAsia="Times New Roman" w:hAnsi="Times New Roman"/>
          <w:sz w:val="21"/>
          <w:szCs w:val="21"/>
          <w:color w:val="auto"/>
        </w:rPr>
        <w:t>” means the “Flash” operating segment of the Company described in the Company’s Form 10-K for the fiscal year ended July 1, 2022.</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Change</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Representations</w:t>
      </w:r>
      <w:r>
        <w:rPr>
          <w:rFonts w:ascii="Times New Roman" w:cs="Times New Roman" w:eastAsia="Times New Roman" w:hAnsi="Times New Roman"/>
          <w:sz w:val="21"/>
          <w:szCs w:val="21"/>
          <w:color w:val="auto"/>
        </w:rPr>
        <w:t xml:space="preserve">” means the representations and warranties of the Company set forth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3.18</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consistently applied.</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Agreement</w:t>
      </w:r>
      <w:r>
        <w:rPr>
          <w:rFonts w:ascii="Times New Roman" w:cs="Times New Roman" w:eastAsia="Times New Roman" w:hAnsi="Times New Roman"/>
          <w:sz w:val="21"/>
          <w:szCs w:val="21"/>
          <w:color w:val="auto"/>
        </w:rPr>
        <w:t>” means any interest rate, currency or commodity swap agreements, cap agreements, collar agreements, floor agreements, exchange agreements, forward contracts, option contracts or similar interest rate or currency or commodity arrangements or precious metal hedging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70" w:name="page71"/>
    <w:bookmarkEnd w:id="70"/>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Obligations</w:t>
      </w:r>
      <w:r>
        <w:rPr>
          <w:rFonts w:ascii="Times New Roman" w:cs="Times New Roman" w:eastAsia="Times New Roman" w:hAnsi="Times New Roman"/>
          <w:sz w:val="21"/>
          <w:szCs w:val="21"/>
          <w:color w:val="auto"/>
        </w:rPr>
        <w:t>” means, with respect to any Person, the obligations of such Person under Hedge Agreements.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HSR Act</w:t>
      </w:r>
      <w:r>
        <w:rPr>
          <w:rFonts w:ascii="Times New Roman" w:cs="Times New Roman" w:eastAsia="Times New Roman" w:hAnsi="Times New Roman"/>
          <w:sz w:val="21"/>
          <w:szCs w:val="21"/>
          <w:color w:val="auto"/>
        </w:rPr>
        <w:t>” means the Hart-Scott-Rodino Antitrust Improvements Act of 1976, as amended, and the rules and regulations promulgated thereunder.</w:t>
      </w:r>
    </w:p>
    <w:p>
      <w:pPr>
        <w:spacing w:after="0" w:line="142"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for any Person (without duplication): (a) all indebtedness of such Person for borrowed money, whether current or funded, or secured or unsecured, (b) all indebtedness for the deferred purchase price of Property, (c) all indebtedness secured by a purchase money mortgage or other Lien to secure all or part of the purchase price of Property subject to such mortgage or Lien, (d) all obligations under leases which shall have been or must be, in accordance with GAAP, recorded as Capital Leases in respect of which such Person is liable as lessee, (e) any liability in respect of banker’s acceptances or letters of credit, (f) any indebtedness of another Person, whether or not assumed, of the types described in clauses (a) through (c) above or clause (g) below, secured by Liens on Property acquired by the Company or its Subsidiaries at the time of acquisition thereof, and</w:t>
      </w:r>
    </w:p>
    <w:p>
      <w:pPr>
        <w:spacing w:after="0" w:line="1" w:lineRule="exact"/>
        <w:rPr>
          <w:sz w:val="20"/>
          <w:szCs w:val="20"/>
          <w:color w:val="auto"/>
        </w:rPr>
      </w:pPr>
    </w:p>
    <w:p>
      <w:pPr>
        <w:jc w:val="both"/>
        <w:ind w:firstLine="6"/>
        <w:spacing w:after="0" w:line="214" w:lineRule="auto"/>
        <w:tabs>
          <w:tab w:leader="none" w:pos="31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Contingent Obligations in respect of indebtedness of the types described in clauses (a) through (f)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“Indebtedness” shall not include (i) trade payables and accrued expenses arising in the ordinary course of business, (ii) any earn-out obligation in connection with an Acquisition except to the extent that the amount payable pursuant to such earnout becomes payable, (iii) prepaid or deferred revenue arising in the ordinary course of business, (iv) purchase price holdbacks arising in the ordinary course of business in respect of a portion of the purchase price of an asset to satisfy warrants or other unperformed obligations of the seller of such asset and (v) any leases or guarantees of leases, in each case that is not a Capital Lease, including of joint ventures. The amount of Indebtedness of any person for purposes of clause (f) above shall (unless such indebtedness has been assumed by such person or is otherwise recourse to such person) be deemed to be equal to the lesser of (A) the aggregate unpaid amount of such indebtedness and (B) the fair market value of the property encumbered thereby.</w:t>
      </w:r>
    </w:p>
    <w:p>
      <w:pPr>
        <w:spacing w:after="0" w:line="148" w:lineRule="exact"/>
        <w:rPr>
          <w:sz w:val="20"/>
          <w:szCs w:val="20"/>
          <w:color w:val="auto"/>
        </w:rPr>
      </w:pPr>
    </w:p>
    <w:p>
      <w:pPr>
        <w:jc w:val="both"/>
        <w:ind w:firstLine="126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means, collectively, (i) the indenture dated February 13, 2018 (as amended or supplemented from time to time) among the Company, as issuer, the subsidiary guarantors party thereto, and U.S. Bank National Association, as trustee (the “</w:t>
      </w:r>
      <w:r>
        <w:rPr>
          <w:rFonts w:ascii="Times New Roman" w:cs="Times New Roman" w:eastAsia="Times New Roman" w:hAnsi="Times New Roman"/>
          <w:sz w:val="21"/>
          <w:szCs w:val="21"/>
          <w:u w:val="single" w:color="auto"/>
          <w:color w:val="auto"/>
        </w:rPr>
        <w:t>Base Indenture</w:t>
      </w:r>
      <w:r>
        <w:rPr>
          <w:rFonts w:ascii="Times New Roman" w:cs="Times New Roman" w:eastAsia="Times New Roman" w:hAnsi="Times New Roman"/>
          <w:sz w:val="21"/>
          <w:szCs w:val="21"/>
          <w:color w:val="auto"/>
        </w:rPr>
        <w:t>”) in connection with the Company’s issuance of the Convertible Notes and the $2,300,000,000 aggregate principal amount 4.750% Senior Unsecured Notes due 2026 (the “</w:t>
      </w:r>
      <w:r>
        <w:rPr>
          <w:rFonts w:ascii="Times New Roman" w:cs="Times New Roman" w:eastAsia="Times New Roman" w:hAnsi="Times New Roman"/>
          <w:sz w:val="21"/>
          <w:szCs w:val="21"/>
          <w:u w:val="single" w:color="auto"/>
          <w:color w:val="auto"/>
        </w:rPr>
        <w:t>2026 Notes</w:t>
      </w:r>
      <w:r>
        <w:rPr>
          <w:rFonts w:ascii="Times New Roman" w:cs="Times New Roman" w:eastAsia="Times New Roman" w:hAnsi="Times New Roman"/>
          <w:sz w:val="21"/>
          <w:szCs w:val="21"/>
          <w:color w:val="auto"/>
        </w:rPr>
        <w:t>”), and (ii) the First Supplement Indenture to Base Indenture dated December 10, 2021 among the Company, as issuer, and U.S. Bank National Association as trustee in connection with the Company’s issuance of the $500,000,000 aggregate principal amount 2.85% Senior Unsecured Notes due 2029 (the “</w:t>
      </w:r>
      <w:r>
        <w:rPr>
          <w:rFonts w:ascii="Times New Roman" w:cs="Times New Roman" w:eastAsia="Times New Roman" w:hAnsi="Times New Roman"/>
          <w:sz w:val="21"/>
          <w:szCs w:val="21"/>
          <w:u w:val="single" w:color="auto"/>
          <w:color w:val="auto"/>
        </w:rPr>
        <w:t>2029 Notes</w:t>
      </w:r>
      <w:r>
        <w:rPr>
          <w:rFonts w:ascii="Times New Roman" w:cs="Times New Roman" w:eastAsia="Times New Roman" w:hAnsi="Times New Roman"/>
          <w:sz w:val="21"/>
          <w:szCs w:val="21"/>
          <w:color w:val="auto"/>
        </w:rPr>
        <w:t>”), and the $500,000,000 aggregate principal amount 3.10% Senior Unsecured Notes due 2032 (the “</w:t>
      </w:r>
      <w:r>
        <w:rPr>
          <w:rFonts w:ascii="Times New Roman" w:cs="Times New Roman" w:eastAsia="Times New Roman" w:hAnsi="Times New Roman"/>
          <w:sz w:val="21"/>
          <w:szCs w:val="21"/>
          <w:u w:val="single" w:color="auto"/>
          <w:color w:val="auto"/>
        </w:rPr>
        <w:t>2032 Notes</w:t>
      </w:r>
      <w:r>
        <w:rPr>
          <w:rFonts w:ascii="Times New Roman" w:cs="Times New Roman" w:eastAsia="Times New Roman" w:hAnsi="Times New Roman"/>
          <w:sz w:val="21"/>
          <w:szCs w:val="21"/>
          <w:color w:val="auto"/>
        </w:rPr>
        <w:t>”), and any successor indenture or other loan agreement entered into to refinance the Convertible Notes, the 2026 Notes, the 2029 Notes or the 2032 Notes.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Director</w:t>
      </w:r>
      <w:r>
        <w:rPr>
          <w:rFonts w:ascii="Times New Roman" w:cs="Times New Roman" w:eastAsia="Times New Roman" w:hAnsi="Times New Roman"/>
          <w:sz w:val="21"/>
          <w:szCs w:val="21"/>
          <w:color w:val="auto"/>
        </w:rPr>
        <w:t>” means a member of the Board who was elected to the Board as an Investor Director Designee.</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Material Adverse Effect</w:t>
      </w:r>
      <w:r>
        <w:rPr>
          <w:rFonts w:ascii="Times New Roman" w:cs="Times New Roman" w:eastAsia="Times New Roman" w:hAnsi="Times New Roman"/>
          <w:sz w:val="21"/>
          <w:szCs w:val="21"/>
          <w:color w:val="auto"/>
        </w:rPr>
        <w:t>” means any effect, change, event or occurrence that would reasonably be expected to, individually or in the aggregate, prevent or materially delay or impair (i) the consummation by the Investor of any of the Transactions on a timely basis or (i) the compliance by the Investor with its obligations under this Agreement.</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Parties</w:t>
      </w:r>
      <w:r>
        <w:rPr>
          <w:rFonts w:ascii="Times New Roman" w:cs="Times New Roman" w:eastAsia="Times New Roman" w:hAnsi="Times New Roman"/>
          <w:sz w:val="21"/>
          <w:szCs w:val="21"/>
          <w:color w:val="auto"/>
        </w:rPr>
        <w:t>” means the Investor and each Affiliate of the Investor to whom shares of Preferred Stock or Common Stock are transferred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71" w:name="page72"/>
    <w:bookmarkEnd w:id="71"/>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Related Party</w:t>
      </w:r>
      <w:r>
        <w:rPr>
          <w:rFonts w:ascii="Times New Roman" w:cs="Times New Roman" w:eastAsia="Times New Roman" w:hAnsi="Times New Roman"/>
          <w:sz w:val="21"/>
          <w:szCs w:val="21"/>
          <w:color w:val="auto"/>
        </w:rPr>
        <w:t>” means the Investor and any other financing sources of the Investor, the Apollo Funds and any of the foregoing’s respective former, current or future Affiliates and any of the foregoing’s respective former, current or future, direct or indirect, officers, other fiduciary, directors, employees, affiliates, stockholders, equityholders, managers, members, partners, agents, attorneys, advisors, lenders or other representatives or any of the foregoing’s respective successors or assigns.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means the United States Internal Revenue Service.</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xml:space="preserve">” means, with respect to the Company, the actual knowledge of the individuals listed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in each case after reasonable inquiry with his or her direct reports.</w:t>
      </w:r>
    </w:p>
    <w:p>
      <w:pPr>
        <w:spacing w:after="0" w:line="142"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Labor Laws</w:t>
      </w:r>
      <w:r>
        <w:rPr>
          <w:rFonts w:ascii="Times New Roman" w:cs="Times New Roman" w:eastAsia="Times New Roman" w:hAnsi="Times New Roman"/>
          <w:sz w:val="21"/>
          <w:szCs w:val="21"/>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 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Worker Adjustment and Retraining Notification Act of 1988, and the regulations promulgated thereunder and any similar state, local or foreign Law,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5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means all right, title and interest of the Company and its Subsidiaries to any leasehold interests in any real property, together with all buildings, structures, improvements and fixtures thereon.</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xml:space="preserve">” means, with respect to any real, tangible, intangible or mixed property or asset of any Person, any deed of trust, mortgage, lien, security interest, pledge, charge or encumbrance in the nature of security in respect of such real, tangible, intangible or mixed property or asset, including the interests of a vendor or lessor under any conditional sale, capital lease or other title retention arrangement;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 operating lease be deemed to constitute a Lien.</w:t>
      </w:r>
    </w:p>
    <w:p>
      <w:pPr>
        <w:spacing w:after="0" w:line="150"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effect, change, event or occurrence that has or would reasonably be expected to have, individually or in the aggregate, a material adverse effect on (x) the business, results of operations, assets, liabilities or condition (financial or otherwise) of the Company and its Subsidiaries, taken as a whole or (y) the ability of the Company to (i) consummate the Transactions on a timely basis or (ii) comply with its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purposes of clause (x) above, none of the following, and no effect, change, event or occurrence arising out of, or resulting from, the following, shall constitute or be taken into account in determining whether a Material Adverse Effect has occurred or would reasonably be expected to occur: any effect, change,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72" w:name="page73"/>
    <w:bookmarkEnd w:id="72"/>
    <w:p>
      <w:pPr>
        <w:jc w:val="both"/>
        <w:spacing w:after="0" w:line="210" w:lineRule="auto"/>
        <w:rPr>
          <w:sz w:val="20"/>
          <w:szCs w:val="20"/>
          <w:color w:val="auto"/>
        </w:rPr>
      </w:pPr>
      <w:r>
        <w:rPr>
          <w:rFonts w:ascii="Times New Roman" w:cs="Times New Roman" w:eastAsia="Times New Roman" w:hAnsi="Times New Roman"/>
          <w:sz w:val="21"/>
          <w:szCs w:val="21"/>
          <w:color w:val="auto"/>
        </w:rPr>
        <w:t>occurrence (A) generally affecting (1) the industry in which the Company and its Subsidiaries operate or (2) the economy, credit or financial or capital markets, in the United States or elsewhere in the world, including changes in interest or exchange rates, or (B) to the extent arising out of, resulting from or attributable to (1) changes or prospective changes in Law or in GAAP or in accounting standards, or any changes or prospective changes in the interpretation or enforcement of any of the foregoing, or any changes or prospective changes in general legal, regulatory or political conditions, in each case occurring after the date hereof, (2) the public announcement of a Spin-Off, this Agreement, the Elliott Transaction Documents, the Transaction Documents or the consummation of the Transactions, (3) acts of war (whether or not declared), sabotage or terrorism, or any escalation or worsening of any such acts of war (whether or not declared), sabotage or terrorism, (4) volcanoes, tsunamis, pandemics, earthquakes, hurricanes, tornados or other natural disasters, (5) any action taken by the Company or its Subsidiaries (w) that is expressly required by this Agreement or the Transaction Documents, (x) to negotiate and consummate a Spin-Off and any Subsequent Transaction (except as otherwise expressly prohibited by this Agreement or the Transaction Documents), (y) with the Investor’s express written consent, or (z) at the Investor’s express prior written request, (6) any decline in the market price, or change in trading volume, of the capital stock of the Company (it being understood that this clause (6) shall not prevent a determination that the underlying cause of any such change or decline is a Material Adverse Effect), (7) any failure to meet any internal or public projections, forecasts, guidance, estimates, milestones, budgets or internal or published financial or operating predictions of revenue, earnings, cash flow or cash position (it being understood that this clause (7) shall not prevent or otherwise affect a determination that the underlying cause of any such failure is a Material Adverse Effect), (8) any change or prospective change in the Company’s credit ratings (it being understood that this clause (8) shall not prevent or otherwise affect a determination that the underlying cause of any such change or prospective change is a Material Adverse Effect), (9) any change resulting or arising from the identity of the Investor or any of its Affiliates or</w:t>
      </w:r>
    </w:p>
    <w:p>
      <w:pPr>
        <w:spacing w:after="0" w:line="19" w:lineRule="exact"/>
        <w:rPr>
          <w:sz w:val="20"/>
          <w:szCs w:val="20"/>
          <w:color w:val="auto"/>
        </w:rPr>
      </w:pPr>
    </w:p>
    <w:p>
      <w:pPr>
        <w:jc w:val="both"/>
        <w:ind w:firstLine="6"/>
        <w:spacing w:after="0" w:line="215" w:lineRule="auto"/>
        <w:tabs>
          <w:tab w:leader="none" w:pos="40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actions taken at the written request of the Investor;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effect, change, event or occurrence referred to in clause (A) or clauses (B)(1), (B)(3) or (B)(4) may be taken into account in determining whether there has been, or would reasonably be expected to be, individually or in the aggregate, a Material Adverse Effect to the extent such effect, change, event or occurrence has a disproportionate adverse effect on the business, results of operations, assets or financial condition of the Company and its Subsidiaries, taken as a whole, as compared to other participants in the industry in which the Company and its Subsidiaries operate (in which case the incremental disproportionate impact or impacts may be taken into account in determining whether there has been, or would reasonably be expected to be, a Material Adverse Effect).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Global Select Market.</w:t>
      </w:r>
    </w:p>
    <w:p>
      <w:pPr>
        <w:spacing w:after="0" w:line="181"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Non-Cash Charges</w:t>
      </w:r>
      <w:r>
        <w:rPr>
          <w:rFonts w:ascii="Times New Roman" w:cs="Times New Roman" w:eastAsia="Times New Roman" w:hAnsi="Times New Roman"/>
          <w:sz w:val="21"/>
          <w:szCs w:val="21"/>
          <w:color w:val="auto"/>
        </w:rPr>
        <w:t>” means (a) any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purchase or recapitalization accounting and (e) all other non-cash charges (provided that, in each case, if any non-cash charges represent an accrual or reserve for potential cash items in any future period, the cash payment in respect thereof in such future period shall be subtracted from Adjusted EBITDA to such extent, and excluding amortization of a prepaid cash item that was paid in a prior period).</w:t>
      </w:r>
    </w:p>
    <w:p>
      <w:pPr>
        <w:spacing w:after="0" w:line="149"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Non-Cash Compensation Expense</w:t>
      </w:r>
      <w:r>
        <w:rPr>
          <w:rFonts w:ascii="Times New Roman" w:cs="Times New Roman" w:eastAsia="Times New Roman" w:hAnsi="Times New Roman"/>
          <w:sz w:val="21"/>
          <w:szCs w:val="21"/>
          <w:color w:val="auto"/>
        </w:rPr>
        <w:t>” means any non-cash expenses and costs that result from the issuance of stock-based awards, limited liability company or partnership interest-based awards and similar incentive-based compensation awards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5" w:right="339" w:bottom="1440" w:gutter="0" w:footer="0" w:header="0"/>
        </w:sectPr>
      </w:pPr>
    </w:p>
    <w:bookmarkStart w:id="73" w:name="page74"/>
    <w:bookmarkEnd w:id="73"/>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Owned Intellectual Property</w:t>
      </w:r>
      <w:r>
        <w:rPr>
          <w:rFonts w:ascii="Times New Roman" w:cs="Times New Roman" w:eastAsia="Times New Roman" w:hAnsi="Times New Roman"/>
          <w:sz w:val="21"/>
          <w:szCs w:val="21"/>
          <w:color w:val="auto"/>
        </w:rPr>
        <w:t>” means any and all Intellectual Property Rights owned or purported to be owned by the Company or any of its Subsidiaries.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Parity Securities</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corporation, limited liability company, partnership, joint venture, association, trust, unincorporated organization or any other entity, including a Governmental Authority.</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Post-Transaction Period</w:t>
      </w:r>
      <w:r>
        <w:rPr>
          <w:rFonts w:ascii="Times New Roman" w:cs="Times New Roman" w:eastAsia="Times New Roman" w:hAnsi="Times New Roman"/>
          <w:sz w:val="21"/>
          <w:szCs w:val="21"/>
          <w:color w:val="auto"/>
        </w:rPr>
        <w:t>” means, with respect to any Specified Transaction, the period beginning on the date such Specified Transaction is consummated and ending on the last day of the fourth consecutive full fiscal quarter immediately following the date on which such Specified Transaction is consummated.</w:t>
      </w:r>
    </w:p>
    <w:p>
      <w:pPr>
        <w:spacing w:after="0" w:line="147"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Forma Adjustment</w:t>
      </w:r>
      <w:r>
        <w:rPr>
          <w:rFonts w:ascii="Times New Roman" w:cs="Times New Roman" w:eastAsia="Times New Roman" w:hAnsi="Times New Roman"/>
          <w:sz w:val="21"/>
          <w:szCs w:val="21"/>
          <w:color w:val="auto"/>
        </w:rPr>
        <w:t xml:space="preserve">” means, for any period that includes all or any part of a fiscal quarter included in any Post-Transaction Period, the pro forma increase or decrease in Adjusted EBITDA projected by the Company in good faith based on the Company’s reasonable assumptions as a result of (a) actions taken, prior to or during such Post-Transaction Period, for the purposes of realizing reasonably identifiable and factually supportable cost savings within 18 months of the date thereof, or (b) any additional costs incurred prior to or during such Post-Transaction Period to effect operating expense reductions and other operating improvements or synergies reasonably expected to result from a Specified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Adjusted EBITDA, that such cost savings will be realizable during the entirety of such period, or such additional costs will be incurred during the entirety of such period, and (B) any such pro forma increase or decrease to Adjusted EBITDA shall be without duplication for cost savings or additional costs already included in Adjusted EBITDA for such period. Notwithstanding the foregoing, any Pro Forma Adjustment to Adjusted EBITDA for any period, together with any amounts added back pursuant to clauses (a)(viii) and (a)(xii) of the definition of “Adjusted EBITDA” for such period, shall not exceed the greater of $500 million and 15% of Adjusted EBITDA for such period (calculated prior to such add-back).</w:t>
      </w:r>
    </w:p>
    <w:p>
      <w:pPr>
        <w:spacing w:after="0" w:line="151"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Forma Basis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 Forma Effect</w:t>
      </w:r>
      <w:r>
        <w:rPr>
          <w:rFonts w:ascii="Times New Roman" w:cs="Times New Roman" w:eastAsia="Times New Roman" w:hAnsi="Times New Roman"/>
          <w:sz w:val="21"/>
          <w:szCs w:val="21"/>
          <w:color w:val="auto"/>
        </w:rPr>
        <w:t>” means, with respect to compliance with any test or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sale, transfer or other disposition of all or substantially all capital stock in any Subsidiary of the Company or any division or product line of the Company or any of its Subsidiaries, shall be excluded, and (ii) in the case of an Acquisition or investment described in the definition of the term “Specified Transaction,” shall be included,</w:t>
      </w:r>
    </w:p>
    <w:p>
      <w:pPr>
        <w:spacing w:after="0" w:line="1" w:lineRule="exact"/>
        <w:rPr>
          <w:sz w:val="20"/>
          <w:szCs w:val="20"/>
          <w:color w:val="auto"/>
        </w:rPr>
      </w:pPr>
    </w:p>
    <w:p>
      <w:pPr>
        <w:jc w:val="both"/>
        <w:ind w:firstLine="6"/>
        <w:spacing w:after="0" w:line="214" w:lineRule="auto"/>
        <w:tabs>
          <w:tab w:leader="none" w:pos="337"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retirement or repayment of Indebtedness, (c) any Indebtedness incurred by the Company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at the relevant date of determination and (d) the acquisition of any Consolidated Total Assets, whether pursuant to any Specified Transaction or any Person becoming a Subsidiary or merging, amalgamating or consolidating with or into the Borrower or any of its Subsidiaries or the Borrower or any of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application of the Pro Forma Adjustment pursuant to clause (A) above (but without duplication thereof or in addition thereto), the foregoing pro forma adjustments described in clause (a) above may be applied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5" w:right="339" w:bottom="1440" w:gutter="0" w:footer="0" w:header="0"/>
        </w:sectPr>
      </w:pPr>
    </w:p>
    <w:bookmarkStart w:id="74" w:name="page75"/>
    <w:bookmarkEnd w:id="74"/>
    <w:p>
      <w:pPr>
        <w:jc w:val="both"/>
        <w:spacing w:after="0" w:line="225" w:lineRule="auto"/>
        <w:rPr>
          <w:sz w:val="20"/>
          <w:szCs w:val="20"/>
          <w:color w:val="auto"/>
        </w:rPr>
      </w:pPr>
      <w:r>
        <w:rPr>
          <w:rFonts w:ascii="Times New Roman" w:cs="Times New Roman" w:eastAsia="Times New Roman" w:hAnsi="Times New Roman"/>
          <w:sz w:val="21"/>
          <w:szCs w:val="21"/>
          <w:color w:val="auto"/>
        </w:rPr>
        <w:t>any such test or covenant solely to the extent that such adjustments are consistent with the definition of “Adjusted EBITDA” and give effect to events (including operating expense reductions) that are (i) (x) directly attributable to such transaction, (y) expected to have a continuing impact on the Company and its Subsidiaries and (z) factually supportable or (ii) otherwise consistent with the definition of the term “Pro Forma Adjustment.”</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means, as to any Person, all types of real, personal, tangible, intangible or mixed property owned by such Person whether or not included in the most recent balance sheet of such Person and its Subsidiaries under GAAP.</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Rights Agreement</w:t>
      </w:r>
      <w:r>
        <w:rPr>
          <w:rFonts w:ascii="Times New Roman" w:cs="Times New Roman" w:eastAsia="Times New Roman" w:hAnsi="Times New Roman"/>
          <w:sz w:val="21"/>
          <w:szCs w:val="21"/>
          <w:color w:val="auto"/>
        </w:rPr>
        <w:t xml:space="preserve">” means that certain Registration Rights Agreement to be entered into by the Company and the Investor, the form of which is set forth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Laws</w:t>
      </w:r>
      <w:r>
        <w:rPr>
          <w:rFonts w:ascii="Times New Roman" w:cs="Times New Roman" w:eastAsia="Times New Roman" w:hAnsi="Times New Roman"/>
          <w:sz w:val="21"/>
          <w:szCs w:val="21"/>
          <w:color w:val="auto"/>
        </w:rPr>
        <w:t>” means, collectively, any Laws that are designed or intended to prohibit, restrict or regulate actions having the purpose or effect of monopolization or lessening of competition through merger or acquisition or restraint of trade or that affect foreign investment, outbound investment, foreign exchange, national security or national interest of any jurisdiction.</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47"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Persons</w:t>
      </w:r>
      <w:r>
        <w:rPr>
          <w:rFonts w:ascii="Times New Roman" w:cs="Times New Roman" w:eastAsia="Times New Roman" w:hAnsi="Times New Roman"/>
          <w:sz w:val="21"/>
          <w:szCs w:val="21"/>
          <w:color w:val="auto"/>
        </w:rPr>
        <w:t xml:space="preserve">” means (i) any transferee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and its controlled Affiliates, which list may be updated in writing from time to time by the Board with respect to additional bona fide competitors of the Company (each, a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or (ii) any of the Persons who, as of the time of the applicable proposed Transfer, has been listed on the “SharkWatch 50” list (or, if publication of such list has been discontinued, such other list of significant activist investors selected by the Board to replace such list unless and until such time as the publication of such replacement list is discontinued) during the immediately preceding three (3) year period; provided, that for the purposes hereof, none of the Elliott Investors nor their respective Affiliates will be deemed a Restricted Person.</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Facility</w:t>
      </w:r>
      <w:r>
        <w:rPr>
          <w:rFonts w:ascii="Times New Roman" w:cs="Times New Roman" w:eastAsia="Times New Roman" w:hAnsi="Times New Roman"/>
          <w:sz w:val="21"/>
          <w:szCs w:val="21"/>
          <w:color w:val="auto"/>
        </w:rPr>
        <w:t>” means the credit facility pursuant to the Credit Agreement.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Standard &amp; Poor’s Ratings Services, a Standard &amp; Poor’s Financial Services LLC business.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 thereunder.</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Securities</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Assumed Amount</w:t>
      </w:r>
      <w:r>
        <w:rPr>
          <w:rFonts w:ascii="Times New Roman" w:cs="Times New Roman" w:eastAsia="Times New Roman" w:hAnsi="Times New Roman"/>
          <w:sz w:val="21"/>
          <w:szCs w:val="21"/>
          <w:color w:val="auto"/>
        </w:rPr>
        <w:t>” means, in a Standalone Spin-Off, one-third of the then-outstanding shares of Preferred Stock owned by the Investor Parties.</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Spin-Off Transaction</w:t>
      </w:r>
      <w:r>
        <w:rPr>
          <w:rFonts w:ascii="Times New Roman" w:cs="Times New Roman" w:eastAsia="Times New Roman" w:hAnsi="Times New Roman"/>
          <w:sz w:val="21"/>
          <w:szCs w:val="21"/>
          <w:color w:val="auto"/>
        </w:rPr>
        <w:t>” has the meaning set forth in the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5" w:right="339" w:bottom="1440" w:gutter="0" w:footer="0" w:header="0"/>
        </w:sectPr>
      </w:pPr>
    </w:p>
    <w:bookmarkStart w:id="75" w:name="page76"/>
    <w:bookmarkEnd w:id="75"/>
    <w:p>
      <w:pPr>
        <w:jc w:val="both"/>
        <w:ind w:firstLine="1266"/>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Transaction</w:t>
      </w:r>
      <w:r>
        <w:rPr>
          <w:rFonts w:ascii="Times New Roman" w:cs="Times New Roman" w:eastAsia="Times New Roman" w:hAnsi="Times New Roman"/>
          <w:sz w:val="21"/>
          <w:szCs w:val="21"/>
          <w:color w:val="auto"/>
        </w:rPr>
        <w:t>” means, with respect to any period, (a) any Acquisition or the making of other investments pursuant to which all or substantially all of the assets or stock of a Person (or any line of business or division thereof) are acquired,</w:t>
      </w:r>
    </w:p>
    <w:p>
      <w:pPr>
        <w:spacing w:after="0" w:line="1" w:lineRule="exact"/>
        <w:rPr>
          <w:sz w:val="20"/>
          <w:szCs w:val="20"/>
          <w:color w:val="auto"/>
        </w:rPr>
      </w:pPr>
    </w:p>
    <w:p>
      <w:pPr>
        <w:jc w:val="both"/>
        <w:ind w:firstLine="6"/>
        <w:spacing w:after="0" w:line="219" w:lineRule="auto"/>
        <w:tabs>
          <w:tab w:leader="none" w:pos="301"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of all or substantially all of the assets or stock of a Subsidiary of the Company (or any line of business or division of the Company or such Subsidiary of the Company), (c) any retirement or repayment of Indebtedness or (d) any other event that by the terms of the Certificate of Designations requires a test or covenant hereunder to be calculated on a Pro Forma Basis or after giving Pro Forma Effect thereto.</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SpinCo</w:t>
      </w:r>
      <w:r>
        <w:rPr>
          <w:rFonts w:ascii="Times New Roman" w:cs="Times New Roman" w:eastAsia="Times New Roman" w:hAnsi="Times New Roman"/>
          <w:sz w:val="21"/>
          <w:szCs w:val="21"/>
          <w:color w:val="auto"/>
        </w:rPr>
        <w:t>” means the entity that will directly or indirectly own the applicable assets and liabilities of the Flash Business in connection with the anticipated contribution or transfer of all or substantially all of such business in a Spin-Off.</w:t>
      </w:r>
    </w:p>
    <w:p>
      <w:pPr>
        <w:spacing w:after="0" w:line="142"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Spin-Off</w:t>
      </w:r>
      <w:r>
        <w:rPr>
          <w:rFonts w:ascii="Times New Roman" w:cs="Times New Roman" w:eastAsia="Times New Roman" w:hAnsi="Times New Roman"/>
          <w:sz w:val="21"/>
          <w:szCs w:val="21"/>
          <w:color w:val="auto"/>
        </w:rPr>
        <w:t>” means the consummation of a separation of all or substantially all of the Flash Business through a contribution, directly or indirectly, of the applicable assets and liabilities of such business and/or through a contribution, directly or indirectly, of the applicable legal entities comprising such business to a wholly-owned Subsidiary of the Company and the distribution of all of the outstanding equity securities of such Subsidiary to the holders of Common Stock as of a record date to be determined by the Board, in each case of the foregoing, in a transaction qualifying under Section 355 or Section 361 of the Code, together with any transactions related thereto or contemplated thereby (it being understood that such a distribution shall be a Spin-Off only to the extent that the Company has obtained a Tax Opinion or Ruling with respect to such distribution).</w:t>
      </w:r>
    </w:p>
    <w:p>
      <w:pPr>
        <w:spacing w:after="0" w:line="153"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Spin-Off Transaction Documents</w:t>
      </w:r>
      <w:r>
        <w:rPr>
          <w:rFonts w:ascii="Times New Roman" w:cs="Times New Roman" w:eastAsia="Times New Roman" w:hAnsi="Times New Roman"/>
          <w:sz w:val="21"/>
          <w:szCs w:val="21"/>
          <w:color w:val="auto"/>
        </w:rPr>
        <w:t>” means all transaction documents prepared in connection with, arising out of, or relating to, a Spin-Off or any transactions related thereto or undertaken in connection therewith.</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Standalone Spin-Off</w:t>
      </w:r>
      <w:r>
        <w:rPr>
          <w:rFonts w:ascii="Times New Roman" w:cs="Times New Roman" w:eastAsia="Times New Roman" w:hAnsi="Times New Roman"/>
          <w:sz w:val="21"/>
          <w:szCs w:val="21"/>
          <w:color w:val="auto"/>
        </w:rPr>
        <w:t xml:space="preserve"> ” means a Spin-Off where the Company does not enter into a definitive agreement with respect to a Subsequent Transaction prior to the closing of such Spin-Off.</w:t>
      </w:r>
    </w:p>
    <w:p>
      <w:pPr>
        <w:spacing w:after="0" w:line="142"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Standstill Period</w:t>
      </w:r>
      <w:r>
        <w:rPr>
          <w:rFonts w:ascii="Times New Roman" w:cs="Times New Roman" w:eastAsia="Times New Roman" w:hAnsi="Times New Roman"/>
          <w:sz w:val="21"/>
          <w:szCs w:val="21"/>
          <w:color w:val="auto"/>
          <w:highlight w:val="white"/>
        </w:rPr>
        <w:t>” means the period from and after the Closing Date and until the later of (a) ninety (90) days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following the date on which no Investor Director is serving on the Board (and as of such time the Investor no longer has rights pursuant to this Agreement to designate an Investor Director Designee or otherwise has irrevocably waived in a writing delivered to the Company its rights under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to nominate an Investor Director Designee), and (b) thirty-six (36) months following the</w:t>
      </w:r>
      <w:r>
        <w:rPr>
          <w:rFonts w:ascii="Times New Roman" w:cs="Times New Roman" w:eastAsia="Times New Roman" w:hAnsi="Times New Roman"/>
          <w:sz w:val="21"/>
          <w:szCs w:val="21"/>
          <w:color w:val="auto"/>
          <w:highlight w:val="white"/>
        </w:rPr>
        <w:t xml:space="preserve"> Closing Date; provided, that, in each case, the Standstill Period shall immediately terminate and expire (and the restrictions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shall cease to apply and shall be of no further force and effect) at the earlier of: (i) the Company entering into a</w:t>
      </w:r>
      <w:r>
        <w:rPr>
          <w:rFonts w:ascii="Times New Roman" w:cs="Times New Roman" w:eastAsia="Times New Roman" w:hAnsi="Times New Roman"/>
          <w:sz w:val="21"/>
          <w:szCs w:val="21"/>
          <w:color w:val="auto"/>
          <w:highlight w:val="white"/>
        </w:rPr>
        <w:t xml:space="preserve"> definitive written agreement to consummate a Fundamental Change (regardless of the form of such transaction) and (ii) </w:t>
      </w:r>
      <w:r>
        <w:rPr>
          <w:rFonts w:ascii="Times New Roman" w:cs="Times New Roman" w:eastAsia="Times New Roman" w:hAnsi="Times New Roman"/>
          <w:sz w:val="21"/>
          <w:szCs w:val="21"/>
          <w:color w:val="auto"/>
        </w:rPr>
        <w:t>the Board</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approving (or, in the case of a tender or exchange offer, failing to recommend against such tender or exchange offer within ten (10) Business Days of the commencement thereof) a transaction that, if consummated, would result in a Fundamental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-822325</wp:posOffset>
            </wp:positionV>
            <wp:extent cx="4840605" cy="142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4840605" cy="14224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-562610</wp:posOffset>
            </wp:positionV>
            <wp:extent cx="6306185" cy="150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306185" cy="150495"/>
                    </a:xfrm>
                    <a:prstGeom prst="rect">
                      <a:avLst/>
                    </a:prstGeom>
                    <a:noFill/>
                  </pic:spPr>
                </pic:pic>
              </a:graphicData>
            </a:graphic>
          </wp:anchor>
        </w:drawing>
      </w:r>
    </w:p>
    <w:p>
      <w:pPr>
        <w:spacing w:after="0" w:line="134"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Subsequent Transaction</w:t>
      </w:r>
      <w:r>
        <w:rPr>
          <w:rFonts w:ascii="Times New Roman" w:cs="Times New Roman" w:eastAsia="Times New Roman" w:hAnsi="Times New Roman"/>
          <w:sz w:val="21"/>
          <w:szCs w:val="21"/>
          <w:color w:val="auto"/>
        </w:rPr>
        <w:t>” means the sale, merger, combination or other transfer of all or substantially all of the Flash Business, in one or more related transactions, to or with a Third Party, which sale, merger, combination or other transfer occurs subsequent to a Spin-Off, but pursuant to a plan agreed to prior to the closing of such Spin-Off.</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when used with respect to any Person, means any corporation, limited liability company, partnership, association, trust or other entity of which (x) securities or other ownership interests representing more than 50% of the ordinary voting power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76" w:name="page77"/>
    <w:bookmarkEnd w:id="76"/>
    <w:p>
      <w:pPr>
        <w:jc w:val="both"/>
        <w:spacing w:after="0" w:line="231" w:lineRule="auto"/>
        <w:rPr>
          <w:sz w:val="20"/>
          <w:szCs w:val="20"/>
          <w:color w:val="auto"/>
        </w:rPr>
      </w:pPr>
      <w:r>
        <w:rPr>
          <w:rFonts w:ascii="Times New Roman" w:cs="Times New Roman" w:eastAsia="Times New Roman" w:hAnsi="Times New Roman"/>
          <w:sz w:val="21"/>
          <w:szCs w:val="21"/>
          <w:color w:val="auto"/>
        </w:rPr>
        <w:t>case of a partnership, more than 50% of the general partnership interests) or (y)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47"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United States federal, state, local or non-United States taxes, fees, levies, duties, tariffs, imposts, and other similar charges (together with any and all interest, penalties and additions to tax) imposed by any Governmental Authority, including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 together with any interest, penalties, and additions to tax imposed by any Governmental Authority.</w:t>
      </w:r>
    </w:p>
    <w:p>
      <w:pPr>
        <w:spacing w:after="0" w:line="153"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 or Ruling</w:t>
      </w:r>
      <w:r>
        <w:rPr>
          <w:rFonts w:ascii="Times New Roman" w:cs="Times New Roman" w:eastAsia="Times New Roman" w:hAnsi="Times New Roman"/>
          <w:sz w:val="21"/>
          <w:szCs w:val="21"/>
          <w:color w:val="auto"/>
        </w:rPr>
        <w:t>” means a “will” level opinion from national recognized tax counsel or a U.S. Internal Revenue Service private letter ruling to the effect that a distribution meets the requirements of Section 355 or Section 361, as the case may be, and is not a distribution to which Section 355(d) or (e) applies.</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means returns, reports, claims for refund, declarations of estimated Taxes and information statements, including any schedule or attachment thereto or any amendment thereof, with respect to Taxes filed or required to be filed with any Taxing Authority, including consolidated, combined and unitary tax returns.</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Taxing Authority</w:t>
      </w:r>
      <w:r>
        <w:rPr>
          <w:rFonts w:ascii="Times New Roman" w:cs="Times New Roman" w:eastAsia="Times New Roman" w:hAnsi="Times New Roman"/>
          <w:sz w:val="21"/>
          <w:szCs w:val="21"/>
          <w:color w:val="auto"/>
        </w:rPr>
        <w:t>” means any Governmental Authority or any subdivision, agency, commission or entity thereof or any quasi-governmental or private body having jurisdiction over the assessment, determination, collection or imposition of any Tax (including the IRS).</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 Person other than the Investor, the Apollo Funds and each of their respective Affiliates.</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means this Agreement, the Certificate of Designations, the Registration Rights Agreement and all other documents, certificates or agreements executed in connection with the transactions contemplated by this Agreement, the Certificate of Designations and the Registration Rights Agreement.</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xml:space="preserve">” means the transactions expressly contemplated by this Agreement and the other Transaction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the avoidance of doubt, “Transactions” shall not include a Spin-Off or any Subsequent Transaction.</w:t>
      </w:r>
    </w:p>
    <w:p>
      <w:pPr>
        <w:spacing w:after="0" w:line="142"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by any Person means, directly or indirectly, to sell, transfer, assign, pledge, encumber, hypothecate or otherwise dispose of or transfer, either voluntarily or involuntarily (by the operation of law or otherwise), or to enter into any contract, option or other arrangement, agreement or understanding with respect to the sale, transfer, assignment, pledge, encumbrance, hypothecation or other disposition or transfer (by the operation of law or otherwise), of any voting interest in any equity securities beneficially owned by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to the contrary in this Agreement, a Transfer shall not include (i) the conversion of one or more shares of Preferred Stock into shares of Common Stock pursuant to the Certificate of Designations, (ii) the redemption or other acquisition of Common Stock or Preferred Stock by the Company or (iii) the transfer (other than by an Investor Party) of any limited partnership interests or other equity interests in the Investor Party (or any direct or indirect parent entity of such Investor Party) (provided that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5" w:right="339" w:bottom="1440" w:gutter="0" w:footer="0" w:header="0"/>
        </w:sectPr>
      </w:pPr>
    </w:p>
    <w:bookmarkStart w:id="77" w:name="page78"/>
    <w:bookmarkEnd w:id="77"/>
    <w:p>
      <w:pPr>
        <w:spacing w:after="0" w:line="244" w:lineRule="auto"/>
        <w:rPr>
          <w:sz w:val="20"/>
          <w:szCs w:val="20"/>
          <w:color w:val="auto"/>
        </w:rPr>
      </w:pPr>
      <w:r>
        <w:rPr>
          <w:rFonts w:ascii="Times New Roman" w:cs="Times New Roman" w:eastAsia="Times New Roman" w:hAnsi="Times New Roman"/>
          <w:sz w:val="21"/>
          <w:szCs w:val="21"/>
          <w:color w:val="auto"/>
        </w:rPr>
        <w:t>transferor or transferee referred to in this clause (iii) ceases to be controlled (directly or indirectly) by the Person (directly or indirectly) controlling such Person immediately prior to such transfer, such event shall be deemed to constitute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firstLine="1905"/>
        <w:spacing w:after="0" w:line="244" w:lineRule="auto"/>
        <w:tabs>
          <w:tab w:leader="none" w:pos="252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terms defined in </w:t>
      </w:r>
      <w:r>
        <w:rPr>
          <w:rFonts w:ascii="Times New Roman" w:cs="Times New Roman" w:eastAsia="Times New Roman" w:hAnsi="Times New Roman"/>
          <w:sz w:val="21"/>
          <w:szCs w:val="21"/>
          <w:u w:val="single" w:color="auto"/>
          <w:color w:val="auto"/>
        </w:rPr>
        <w:t>Section 1.01(a)</w:t>
      </w:r>
      <w:r>
        <w:rPr>
          <w:rFonts w:ascii="Times New Roman" w:cs="Times New Roman" w:eastAsia="Times New Roman" w:hAnsi="Times New Roman"/>
          <w:sz w:val="21"/>
          <w:szCs w:val="21"/>
          <w:color w:val="auto"/>
        </w:rPr>
        <w:t>, the following terms have the meanings assigned thereto in the Sections set forth below:</w:t>
      </w: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1"/>
              </w:rPr>
              <w:t>Term</w:t>
            </w:r>
          </w:p>
        </w:tc>
        <w:tc>
          <w:tcPr>
            <w:tcW w:w="794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7"/>
              </w:rPr>
              <w:t>Section</w:t>
            </w:r>
          </w:p>
        </w:tc>
        <w:tc>
          <w:tcPr>
            <w:tcW w:w="180" w:type="dxa"/>
            <w:vAlign w:val="bottom"/>
          </w:tcPr>
          <w:p>
            <w:pPr>
              <w:spacing w:after="0"/>
              <w:rPr>
                <w:sz w:val="21"/>
                <w:szCs w:val="21"/>
                <w:color w:val="auto"/>
              </w:rPr>
            </w:pPr>
          </w:p>
        </w:tc>
      </w:tr>
      <w:tr>
        <w:trPr>
          <w:trHeight w:val="282"/>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Acquired Shares</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2.01</w:t>
            </w:r>
          </w:p>
        </w:tc>
        <w:tc>
          <w:tcPr>
            <w:tcW w:w="180" w:type="dxa"/>
            <w:vAlign w:val="bottom"/>
          </w:tcPr>
          <w:p>
            <w:pPr>
              <w:spacing w:after="0"/>
              <w:rPr>
                <w:sz w:val="24"/>
                <w:szCs w:val="24"/>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Action</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3.07</w:t>
            </w:r>
          </w:p>
        </w:tc>
        <w:tc>
          <w:tcPr>
            <w:tcW w:w="180" w:type="dxa"/>
            <w:vAlign w:val="bottom"/>
          </w:tcPr>
          <w:p>
            <w:pPr>
              <w:spacing w:after="0"/>
              <w:rPr>
                <w:sz w:val="22"/>
                <w:szCs w:val="22"/>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Announcement</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5.03</w:t>
            </w:r>
          </w:p>
        </w:tc>
        <w:tc>
          <w:tcPr>
            <w:tcW w:w="180" w:type="dxa"/>
            <w:vAlign w:val="bottom"/>
          </w:tcPr>
          <w:p>
            <w:pPr>
              <w:spacing w:after="0"/>
              <w:rPr>
                <w:sz w:val="22"/>
                <w:szCs w:val="22"/>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Apollo Entity</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5.08(j)</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Apollo Indemnitors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5.08(j)</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Balance Sheet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3.05(c)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Bankruptcy and Equity Exception</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3.03(a)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Board Observer</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5.08(h)</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Capitalization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Certificate of Designations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Disclosure Letter</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Article III</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Preferred Stock</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SEC Documents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3.05(a)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Securities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Contract</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3.03(b)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DOJ</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5.01(c)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Excluded Stock</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5.15(a)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Ex-Im Laws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3.08(e)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Filed SEC Documents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Article III</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Foreclosure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5.06(e)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FTC</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5.01(c)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Hedging Arrangements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5.06(b)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Identified Person</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Identified Persons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Investor Rights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7.03(b)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Intellectual Property Rights</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180" w:type="dxa"/>
            <w:vAlign w:val="bottom"/>
          </w:tcPr>
          <w:p>
            <w:pPr>
              <w:spacing w:after="0"/>
              <w:rPr>
                <w:sz w:val="22"/>
                <w:szCs w:val="22"/>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Investor</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Investor Director Designee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IT Systems and Data</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3.23</w:t>
            </w:r>
          </w:p>
        </w:tc>
        <w:tc>
          <w:tcPr>
            <w:tcW w:w="180" w:type="dxa"/>
            <w:vAlign w:val="bottom"/>
          </w:tcPr>
          <w:p>
            <w:pPr>
              <w:spacing w:after="0"/>
              <w:rPr>
                <w:sz w:val="22"/>
                <w:szCs w:val="22"/>
                <w:color w:val="auto"/>
              </w:rPr>
            </w:pPr>
          </w:p>
        </w:tc>
      </w:tr>
      <w:tr>
        <w:trPr>
          <w:trHeight w:val="276"/>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J.P. Morgan</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3.13</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65" w:right="339" w:bottom="1440" w:gutter="0" w:footer="0" w:header="0"/>
          <w:type w:val="continuous"/>
        </w:sectPr>
      </w:pPr>
    </w:p>
    <w:bookmarkStart w:id="78" w:name="page79"/>
    <w:bookmarkEnd w:id="78"/>
    <w:tbl>
      <w:tblPr>
        <w:tblLayout w:type="fixed"/>
        <w:tblInd w:w="80" w:type="dxa"/>
        <w:tblCellMar>
          <w:top w:w="0" w:type="dxa"/>
          <w:left w:w="0" w:type="dxa"/>
          <w:bottom w:w="0" w:type="dxa"/>
          <w:right w:w="0" w:type="dxa"/>
        </w:tblCellMar>
      </w:tblP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Judgments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3.07</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Laws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Material Contract</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3.09</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Multiemployer Plan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3.14(a)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Organizational Documents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5.08(j)</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Participation Portion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w w:val="98"/>
              </w:rPr>
              <w:t>5.15(b)(ii)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Permits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Permitted Loan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5.06(e)</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Preferred Stock</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Recitals</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Proposed Securities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5.15(b)(i)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Purchase Price</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2.01</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Related Companies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Related Company</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Required Regulatory Approvals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5.01(a)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Restricted Issuance Information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w w:val="98"/>
              </w:rPr>
              <w:t>5.15(b)(ii)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Sanctioned Country</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Sanctioned Person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SpinCo Preferred Stock</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5.10(b)(i)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Subsequent Transaction Announcement</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5.06(b)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Transfer</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1.01</w:t>
            </w:r>
          </w:p>
        </w:tc>
      </w:tr>
      <w:tr>
        <w:trPr>
          <w:trHeight w:val="276"/>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USRPHC</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b w:val="1"/>
          <w:bCs w:val="1"/>
          <w:color w:val="auto"/>
        </w:rPr>
        <w:t>Purchase and Sale</w:t>
      </w:r>
    </w:p>
    <w:p>
      <w:pPr>
        <w:spacing w:after="0" w:line="185"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Purchase and Sale</w:t>
      </w:r>
      <w:r>
        <w:rPr>
          <w:rFonts w:ascii="Times New Roman" w:cs="Times New Roman" w:eastAsia="Times New Roman" w:hAnsi="Times New Roman"/>
          <w:sz w:val="21"/>
          <w:szCs w:val="21"/>
          <w:color w:val="auto"/>
        </w:rPr>
        <w:t>. On the terms of this Agreement and subject to the conditions set forth herein, at the Closing, the Investor shall purchase and acquire from the Company an aggregate of 665,000 shares of Preferred Stock, and the Company shall issue, sell and deliver to the Investor, the shares of Preferred Stock (the “</w:t>
      </w:r>
      <w:r>
        <w:rPr>
          <w:rFonts w:ascii="Times New Roman" w:cs="Times New Roman" w:eastAsia="Times New Roman" w:hAnsi="Times New Roman"/>
          <w:sz w:val="21"/>
          <w:szCs w:val="21"/>
          <w:u w:val="single" w:color="auto"/>
          <w:color w:val="auto"/>
        </w:rPr>
        <w:t>Acquired Shares</w:t>
      </w:r>
      <w:r>
        <w:rPr>
          <w:rFonts w:ascii="Times New Roman" w:cs="Times New Roman" w:eastAsia="Times New Roman" w:hAnsi="Times New Roman"/>
          <w:sz w:val="21"/>
          <w:szCs w:val="21"/>
          <w:color w:val="auto"/>
        </w:rPr>
        <w:t>”) for a purchase price per Share equal to $1,000 and an aggregate purchase price of $665,000,000 (such aggregate purchase price,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terms of this Agreement, and subject to the conditions set forth herein, the closing of the sale and purchase of the Acquired Shares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shall occur simultaneously with the execution and delivery of this Agreement at the offices of Paul, Weiss, Rifkind, Wharton &amp; Garrison LLP at 1285 Avenue of the Americas, New York, NY 10019 (the date on which the Closing occurs,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18" w:right="339" w:bottom="1440" w:gutter="0" w:footer="0" w:header="0"/>
        </w:sectPr>
      </w:pPr>
    </w:p>
    <w:bookmarkStart w:id="79" w:name="page80"/>
    <w:bookmarkEnd w:id="79"/>
    <w:p>
      <w:pPr>
        <w:ind w:left="3160" w:hanging="622"/>
        <w:spacing w:after="0"/>
        <w:tabs>
          <w:tab w:leader="none" w:pos="31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w:t>
      </w:r>
    </w:p>
    <w:p>
      <w:pPr>
        <w:spacing w:after="0" w:line="180" w:lineRule="exact"/>
        <w:rPr>
          <w:rFonts w:ascii="Times New Roman" w:cs="Times New Roman" w:eastAsia="Times New Roman" w:hAnsi="Times New Roman"/>
          <w:sz w:val="21"/>
          <w:szCs w:val="21"/>
          <w:color w:val="auto"/>
        </w:rPr>
      </w:pPr>
    </w:p>
    <w:p>
      <w:pPr>
        <w:ind w:firstLine="3171"/>
        <w:spacing w:after="0" w:line="244" w:lineRule="auto"/>
        <w:tabs>
          <w:tab w:leader="none" w:pos="379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with the Secretary of State of the State of Delaware the Certificate of Designations, and shall deliver to the Investor a certified copy thereof;</w:t>
      </w:r>
    </w:p>
    <w:p>
      <w:pPr>
        <w:spacing w:after="0" w:line="142" w:lineRule="exact"/>
        <w:rPr>
          <w:rFonts w:ascii="Times New Roman" w:cs="Times New Roman" w:eastAsia="Times New Roman" w:hAnsi="Times New Roman"/>
          <w:sz w:val="21"/>
          <w:szCs w:val="21"/>
          <w:color w:val="auto"/>
        </w:rPr>
      </w:pPr>
    </w:p>
    <w:p>
      <w:pPr>
        <w:jc w:val="both"/>
        <w:ind w:firstLine="3171"/>
        <w:spacing w:after="0" w:line="225" w:lineRule="auto"/>
        <w:tabs>
          <w:tab w:leader="none" w:pos="379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Investor (A) evidence of book-entry shares representing the Acquired Shares credited to book-entry accounts maintained by the transfer agent of the Company, free and clear of all Liens, except restrictions imposed by applicable securities Laws, the Company Charter Documents and the Transaction Documents, and (B) the Registration Rights Agreement, duly executed by the Company;</w:t>
      </w:r>
    </w:p>
    <w:p>
      <w:pPr>
        <w:spacing w:after="0" w:line="149" w:lineRule="exact"/>
        <w:rPr>
          <w:rFonts w:ascii="Times New Roman" w:cs="Times New Roman" w:eastAsia="Times New Roman" w:hAnsi="Times New Roman"/>
          <w:sz w:val="21"/>
          <w:szCs w:val="21"/>
          <w:color w:val="auto"/>
        </w:rPr>
      </w:pPr>
    </w:p>
    <w:p>
      <w:pPr>
        <w:jc w:val="both"/>
        <w:ind w:firstLine="3171"/>
        <w:spacing w:after="0" w:line="231" w:lineRule="auto"/>
        <w:tabs>
          <w:tab w:leader="none" w:pos="379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 the structuring fee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to an Affiliate of the Investor, by wire transfer in immediately available U.S. federal funds, to the account designated by the Investor in writing at least one (1) Business Day prior to the Closing Date; and</w:t>
      </w:r>
    </w:p>
    <w:p>
      <w:pPr>
        <w:spacing w:after="0" w:line="146" w:lineRule="exact"/>
        <w:rPr>
          <w:rFonts w:ascii="Times New Roman" w:cs="Times New Roman" w:eastAsia="Times New Roman" w:hAnsi="Times New Roman"/>
          <w:sz w:val="21"/>
          <w:szCs w:val="21"/>
          <w:color w:val="auto"/>
        </w:rPr>
      </w:pPr>
    </w:p>
    <w:p>
      <w:pPr>
        <w:jc w:val="both"/>
        <w:ind w:firstLine="3171"/>
        <w:spacing w:after="0" w:line="231" w:lineRule="auto"/>
        <w:tabs>
          <w:tab w:leader="none" w:pos="379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 the expense reimbursement amount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to the Investor (or its designee), by wire transfer in immediately available U.S. federal funds, to the account(s) designated by the Investor in writing at least one (1) Business Day prior to the Closing Date;</w:t>
      </w:r>
    </w:p>
    <w:p>
      <w:pPr>
        <w:spacing w:after="0" w:line="146" w:lineRule="exact"/>
        <w:rPr>
          <w:rFonts w:ascii="Times New Roman" w:cs="Times New Roman" w:eastAsia="Times New Roman" w:hAnsi="Times New Roman"/>
          <w:sz w:val="21"/>
          <w:szCs w:val="21"/>
          <w:color w:val="auto"/>
        </w:rPr>
      </w:pPr>
    </w:p>
    <w:p>
      <w:pPr>
        <w:ind w:firstLine="2538"/>
        <w:spacing w:after="0" w:line="244" w:lineRule="auto"/>
        <w:tabs>
          <w:tab w:leader="none" w:pos="315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shall take all actions necessary and appropriate to cause to be elected to the Board, effective immediately upon the Closing, the initial Investor Director Designee; and</w:t>
      </w:r>
    </w:p>
    <w:p>
      <w:pPr>
        <w:spacing w:after="0" w:line="142" w:lineRule="exact"/>
        <w:rPr>
          <w:rFonts w:ascii="Times New Roman" w:cs="Times New Roman" w:eastAsia="Times New Roman" w:hAnsi="Times New Roman"/>
          <w:sz w:val="21"/>
          <w:szCs w:val="21"/>
          <w:color w:val="auto"/>
        </w:rPr>
      </w:pPr>
    </w:p>
    <w:p>
      <w:pPr>
        <w:jc w:val="both"/>
        <w:ind w:firstLine="2538"/>
        <w:spacing w:after="0" w:line="222" w:lineRule="auto"/>
        <w:tabs>
          <w:tab w:leader="none" w:pos="316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 shall (1) pay the Purchase Price to the Company, by wire transfer in immediately available U.S. federal funds, to the account designated by the Company in writing at least one (1) Business Day prior to the Closing Date, (2) deliver to the Company the Registration Rights Agreement, duly executed by the Investor and/or its applicable Affiliates and (3) deliver to the Company or its paying agent a duly executed, valid, accurate and properly completed IRS Form W-9 or an appropriate IRS Form W-8, as applicable.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Company</w:t>
      </w:r>
    </w:p>
    <w:p>
      <w:pPr>
        <w:spacing w:after="0" w:line="18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The Company represents and warrants to the Investor that, except as (A) set forth in the confidential disclosure letter delivered by the Company to the Investor prior to the execution of this Agreement (the “</w:t>
      </w:r>
      <w:r>
        <w:rPr>
          <w:rFonts w:ascii="Times New Roman" w:cs="Times New Roman" w:eastAsia="Times New Roman" w:hAnsi="Times New Roman"/>
          <w:sz w:val="21"/>
          <w:szCs w:val="21"/>
          <w:u w:val="single" w:color="auto"/>
          <w:color w:val="auto"/>
        </w:rPr>
        <w:t>Company Disclosure Letter</w:t>
      </w:r>
      <w:r>
        <w:rPr>
          <w:rFonts w:ascii="Times New Roman" w:cs="Times New Roman" w:eastAsia="Times New Roman" w:hAnsi="Times New Roman"/>
          <w:sz w:val="21"/>
          <w:szCs w:val="21"/>
          <w:color w:val="auto"/>
        </w:rPr>
        <w:t>”) (it being understood that any information, item or matter set forth on one section or subsection of the Company Disclosure Letter shall only be deemed disclosure with respect to, and shall only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or (B) disclosed in any report, schedule, form, statement or other document (including exhibits) filed with, or furnished to, the SEC and publicly available on or after July 2, 2022 and prior to the date hereof (the “</w:t>
      </w:r>
      <w:r>
        <w:rPr>
          <w:rFonts w:ascii="Times New Roman" w:cs="Times New Roman" w:eastAsia="Times New Roman" w:hAnsi="Times New Roman"/>
          <w:sz w:val="21"/>
          <w:szCs w:val="21"/>
          <w:u w:val="single" w:color="auto"/>
          <w:color w:val="auto"/>
        </w:rPr>
        <w:t>Filed SEC Documents</w:t>
      </w:r>
      <w:r>
        <w:rPr>
          <w:rFonts w:ascii="Times New Roman" w:cs="Times New Roman" w:eastAsia="Times New Roman" w:hAnsi="Times New Roman"/>
          <w:sz w:val="21"/>
          <w:szCs w:val="21"/>
          <w:color w:val="auto"/>
        </w:rPr>
        <w:t xml:space="preserve">”), other than any disclosures in any such Filed SEC Document contained in the “Risk Factors” section thereof or any forward-looking statements within the meaning of the Securities Act or the Exchange Act thereof (it being acknowledged that nothing disclosed in the Filed SEC Documents shall be deemed to qualify or modify the representations and warranties set forth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5" w:right="339" w:bottom="1440" w:gutter="0" w:footer="0" w:header="0"/>
        </w:sectPr>
      </w:pPr>
    </w:p>
    <w:bookmarkStart w:id="80" w:name="page81"/>
    <w:bookmarkEnd w:id="80"/>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Organization; Standing</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18" w:lineRule="auto"/>
        <w:tabs>
          <w:tab w:leader="none" w:pos="252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 corporation duly incorporated and validly existing and in good standing under the Laws of the State of Delaware and has all requisite corporate power and corporate authority necessary to carry on its business as it is now being conducted, except (other than with respect to the Company’s due organization, valid existence and good standing) as would not, individually or in the aggregate, reasonably be expected to have a Material Adverse Effect. The Company is duly licensed or qualified as a foreign corporation for the transaction of business and is in good standing (if applicable) under the Laws of each other jurisdiction in which it owns or leases properties or conducts any business so as to require such qualification. True and complete copies of the Company Charter Documents are included in the Filed SEC Documents.</w:t>
      </w:r>
    </w:p>
    <w:p>
      <w:pPr>
        <w:spacing w:after="0" w:line="152"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Company’s Subsidiaries that is a “significant subsidiary” (as defined in Rule 405 under the Securities Act) is duly organized, validly existing and in good standing (where such concept is recognized under applicable Law) under the Laws of the jurisdiction of its organization, except where the failure to be so organized, existing and in good standing would not, individually or in the aggregate, reasonably be expected to have a Material Adverse Effect.</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0" w:lineRule="auto"/>
        <w:tabs>
          <w:tab w:leader="none" w:pos="252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stock of the Company consists of 450,000,000 shares of Common Stock and 5,000,000 shares of preferred stock, par value $0.01 per share (“</w:t>
      </w:r>
      <w:r>
        <w:rPr>
          <w:rFonts w:ascii="Times New Roman" w:cs="Times New Roman" w:eastAsia="Times New Roman" w:hAnsi="Times New Roman"/>
          <w:sz w:val="21"/>
          <w:szCs w:val="21"/>
          <w:u w:val="single" w:color="auto"/>
          <w:color w:val="auto"/>
        </w:rPr>
        <w:t>Company Preferred Stock</w:t>
      </w:r>
      <w:r>
        <w:rPr>
          <w:rFonts w:ascii="Times New Roman" w:cs="Times New Roman" w:eastAsia="Times New Roman" w:hAnsi="Times New Roman"/>
          <w:sz w:val="21"/>
          <w:szCs w:val="21"/>
          <w:color w:val="auto"/>
        </w:rPr>
        <w:t>”). At the close of business on January 27, 2023 (the “</w:t>
      </w:r>
      <w:r>
        <w:rPr>
          <w:rFonts w:ascii="Times New Roman" w:cs="Times New Roman" w:eastAsia="Times New Roman" w:hAnsi="Times New Roman"/>
          <w:sz w:val="21"/>
          <w:szCs w:val="21"/>
          <w:u w:val="single" w:color="auto"/>
          <w:color w:val="auto"/>
        </w:rPr>
        <w:t>Capitalization Date</w:t>
      </w:r>
      <w:r>
        <w:rPr>
          <w:rFonts w:ascii="Times New Roman" w:cs="Times New Roman" w:eastAsia="Times New Roman" w:hAnsi="Times New Roman"/>
          <w:sz w:val="21"/>
          <w:szCs w:val="21"/>
          <w:color w:val="auto"/>
        </w:rPr>
        <w:t>”), (i) 319,327,848 shares of Common Stock were issued and outstanding, (ii) 25,319,401 shares of Common Stock were reserved and available for issuance pursuant to the Company Stock Plans, (iii) 8,289,015 shares of Common Stock were reserved and available for issuance under the Company ESPP, (iv) 12,632,063 shares of Common Stock could be issued upon conversion of the Convertible Notes and (v) no shares of Company Preferred Stock were issued or outstanding.</w:t>
      </w:r>
    </w:p>
    <w:p>
      <w:pPr>
        <w:spacing w:after="0" w:line="149" w:lineRule="exact"/>
        <w:rPr>
          <w:rFonts w:ascii="Times New Roman" w:cs="Times New Roman" w:eastAsia="Times New Roman" w:hAnsi="Times New Roman"/>
          <w:sz w:val="21"/>
          <w:szCs w:val="21"/>
          <w:color w:val="auto"/>
        </w:rPr>
      </w:pPr>
    </w:p>
    <w:p>
      <w:pPr>
        <w:jc w:val="both"/>
        <w:ind w:firstLine="1905"/>
        <w:spacing w:after="0" w:line="215" w:lineRule="auto"/>
        <w:tabs>
          <w:tab w:leader="none" w:pos="252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described in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of the Capitalization Date, there were (i) no outstanding shares of capital stock of, or other equity or voting interests in, the Company, (ii) no outstanding securities convertible into or exchangeable for shares of capital stock of, or other equity or voting interests in, the Company other than obligations under the Company Stock Plans, (iii) no outstanding options, warrants, rights or other commitments or agreements to acquire from the Company or any Subsidiary, or that obligate the Company or any Subsidiary to issue, any capital stock of, or other equity or voting interests (or voting debt) in, or any securities convertible into or exchangeable for shares of capital stock of, or other equity or voting interests in, the Company other than obligations under the Company Stock Plans, (iv) no obligations of the Company or any Subsidiary to grant, extend or enter into any subscription, warrant, right, debt, convertible or exchangeable security or other similar agreement or commitment relating to any capital stock of, or other equity or voting interests in, the Company (the items in clauses (i), (ii), (iii) and (iv) being referred to collectively as “</w:t>
      </w:r>
      <w:r>
        <w:rPr>
          <w:rFonts w:ascii="Times New Roman" w:cs="Times New Roman" w:eastAsia="Times New Roman" w:hAnsi="Times New Roman"/>
          <w:sz w:val="21"/>
          <w:szCs w:val="21"/>
          <w:u w:val="single" w:color="auto"/>
          <w:color w:val="auto"/>
        </w:rPr>
        <w:t>Company Securities</w:t>
      </w:r>
      <w:r>
        <w:rPr>
          <w:rFonts w:ascii="Times New Roman" w:cs="Times New Roman" w:eastAsia="Times New Roman" w:hAnsi="Times New Roman"/>
          <w:sz w:val="21"/>
          <w:szCs w:val="21"/>
          <w:color w:val="auto"/>
        </w:rPr>
        <w:t>”) and (v) no other obligations by the Company or any of its Subsidiaries to make any payments based on the price or value of any Company Securities.</w:t>
      </w:r>
    </w:p>
    <w:p>
      <w:pPr>
        <w:spacing w:after="0" w:line="152"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there are no outstanding agreements of any kind which obligate the Company or any of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rights of first refusal or similar rights with respect to any Company Securities. None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5" w:right="339" w:bottom="1440" w:gutter="0" w:footer="0" w:header="0"/>
        </w:sectPr>
      </w:pPr>
    </w:p>
    <w:bookmarkStart w:id="81" w:name="page82"/>
    <w:bookmarkEnd w:id="81"/>
    <w:p>
      <w:pPr>
        <w:jc w:val="both"/>
        <w:spacing w:after="0" w:line="225" w:lineRule="auto"/>
        <w:rPr>
          <w:sz w:val="20"/>
          <w:szCs w:val="20"/>
          <w:color w:val="auto"/>
        </w:rPr>
      </w:pPr>
      <w:r>
        <w:rPr>
          <w:rFonts w:ascii="Times New Roman" w:cs="Times New Roman" w:eastAsia="Times New Roman" w:hAnsi="Times New Roman"/>
          <w:sz w:val="21"/>
          <w:szCs w:val="21"/>
          <w:color w:val="auto"/>
        </w:rPr>
        <w:t>of the Company is a party to any stockholders’ agreement, voting trust agreement, registration rights agreement or other similar agreement or understanding relating to any Company Securities or any other agreement relating to the disposition, voting or dividends with respect to any Company Securities. All outstanding shares of Common Stock have been duly authorized and validly issued and are fully paid, nonassessable and free of preemptive rights.</w:t>
      </w:r>
    </w:p>
    <w:p>
      <w:pPr>
        <w:spacing w:after="0" w:line="150" w:lineRule="exact"/>
        <w:rPr>
          <w:sz w:val="20"/>
          <w:szCs w:val="20"/>
          <w:color w:val="auto"/>
        </w:rPr>
      </w:pPr>
    </w:p>
    <w:p>
      <w:pPr>
        <w:jc w:val="both"/>
        <w:ind w:firstLine="1905"/>
        <w:spacing w:after="0" w:line="216" w:lineRule="auto"/>
        <w:tabs>
          <w:tab w:leader="none" w:pos="252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Acquired Shares and the shares of Common Stock issuable upon conversion of the Acquired Shares will be, when issued, duly authorized and validly issued, fully paid and nonassessable and issued in compliance with all applicable federal and state securities laws, and such shares will not be issued in violation of any purchase option, call option, preemptive right, resale right, subscription right, right of first refusal or similar right, and will be free and clear of all Liens, except restrictions imposed by the Securities Act and any applicable foreign and state securities Laws, Liens contemplated by the Transaction Documents and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The Acquired Shares, when issued, and the shares of Common Stock issuable upon conversion of the Acquired Shares, if and when issued, will have the terms and conditions and entitle the holders thereof to the rights set forth in the Company Charter Documents, as amended by the Certificate of Designations. The shares of Common Stock issuable upon conversion of the Acquired Shares have been duly reserved for such issuance.</w:t>
      </w:r>
    </w:p>
    <w:p>
      <w:pPr>
        <w:spacing w:after="0" w:line="154"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all of the outstanding shares of capital stock of, or other equity or voting interests in, each Subsidiary of the Company (except for directors’ qualifying shares or the like) are owned directly or indirectly, beneficially and of record, by the Company free and clear of all Liens.</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all necessary corporate power and corporate authority to execute and deliver this Agreement and the other Transaction Documents and to perform its obligations hereunder and thereunder and to consummate the Transactions. The execution, delivery and performance by the Company of this Agreement and the other Transaction Documents, and the consummation by it of the Transactions, have been duly authorized by the Board and the Board has duly reserved (x) the shares of Preferred Stock to be issued in accordance with the terms and conditions of the Certificate of Designations and (y) the shares of Common Stock to be issued upon any conversion of shares of Preferred Stock into Common Stock. No other action on the part of the Company or its stockholders is necessary to authorize the execution, delivery and performance by the Company of this Agreement and the other Transaction Documents and the consummation by it of the Transactions.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or the other Transaction Documents by the Company, nor the consummation by the Company of the Transactions, nor performance or compliance by the Company with any of the terms or provisions hereof or thereof, will (i) conflict with or violate any provision of the Company Charter Documents or (ii) assuming that the authorizations, consents and approvals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are obtained at or prior to the Closing Date (other than the authorizations, consents and approvals referred to in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xml:space="preserve">, which are to be obtained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and the filings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are made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5" w:right="339" w:bottom="1440" w:gutter="0" w:footer="0" w:header="0"/>
        </w:sectPr>
      </w:pPr>
    </w:p>
    <w:bookmarkStart w:id="82" w:name="page83"/>
    <w:bookmarkEnd w:id="82"/>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waiting periods thereunder have terminated or expired at or prior to the Closing Date (other than the filings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3.04(b)</w:t>
      </w:r>
      <w:r>
        <w:rPr>
          <w:rFonts w:ascii="Times New Roman" w:cs="Times New Roman" w:eastAsia="Times New Roman" w:hAnsi="Times New Roman"/>
          <w:sz w:val="21"/>
          <w:szCs w:val="21"/>
          <w:color w:val="auto"/>
        </w:rPr>
        <w:t xml:space="preserve">, which are to be made and any waiting periods thereunder are to terminate or expire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 violate any Law or Judgment applicable to the Company or any of its Subsidiaries or (y) violate or constitute a default (or constitute an event which, with notice or lapse of time or both, would violate or constitute a default) or accelerate the performance required by the Company under any of the terms or provisions of any loan or credit agreement, indenture, debenture, note, bond, mortgage, deed of trust, lease, sublease, license, contract or other agreement (a “</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to which the Company or any of its Subsidiaries is a party or accelerate the Company’s or, if applicable, any of its Subsidiaries’ obligations under any such Contract, except, in the case of clause (ii), as would not, individually or in the aggregate, reasonably be expected to have a Material Adverse Effect.</w:t>
      </w:r>
    </w:p>
    <w:p>
      <w:pPr>
        <w:spacing w:after="0" w:line="154"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Except for (a) the filing of the Certificate of Designations with the Secretary of State of the State for Delaware, (b) filings required under, and compliance with other applicable requirements of the HSR Act and any other applicable Regulatory Laws, (c) filings with the SEC under the Securities Act and Exchange Act and (d) compliance with any applicable state securities or blue sky laws, no consent or approval of or filing, license, permit or authorization, declaration or registration with, or notice to any Governmental Authority or any stock market or stock exchange is necessary for the execution and delivery of this Agreement and the other Transaction Documents by the Company, the performance by the Company of its obligations hereunder and thereunder and the consummation by the Company of the Transactions, other than such other consents, approvals, filings, licenses, permits or authorizations, declarations or registrations that, if not obtained, made or given, would not, individually or in the aggregate, reasonably be expected to have a Material Adverse Effect.</w:t>
      </w:r>
    </w:p>
    <w:p>
      <w:pPr>
        <w:spacing w:after="0" w:line="15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3.05</w:t>
      </w:r>
      <w:r>
        <w:rPr>
          <w:sz w:val="20"/>
          <w:szCs w:val="20"/>
          <w:color w:val="auto"/>
        </w:rPr>
        <w:tab/>
      </w:r>
      <w:r>
        <w:rPr>
          <w:rFonts w:ascii="Times New Roman" w:cs="Times New Roman" w:eastAsia="Times New Roman" w:hAnsi="Times New Roman"/>
          <w:sz w:val="21"/>
          <w:szCs w:val="21"/>
          <w:u w:val="single" w:color="auto"/>
          <w:color w:val="auto"/>
        </w:rPr>
        <w:t>Company SEC Documents; Undisclosed Liabilities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3" w:lineRule="auto"/>
        <w:tabs>
          <w:tab w:leader="none" w:pos="252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filed with the SEC, on a timely basis, all required reports, schedules, forms, statements and other documents required to be filed by the Company with the SEC pursuant to the Exchange Act since July 3, 2021 (collectively, the “</w:t>
      </w:r>
      <w:r>
        <w:rPr>
          <w:rFonts w:ascii="Times New Roman" w:cs="Times New Roman" w:eastAsia="Times New Roman" w:hAnsi="Times New Roman"/>
          <w:sz w:val="21"/>
          <w:szCs w:val="21"/>
          <w:u w:val="single" w:color="auto"/>
          <w:color w:val="auto"/>
        </w:rPr>
        <w:t>Company SEC Documents</w:t>
      </w:r>
      <w:r>
        <w:rPr>
          <w:rFonts w:ascii="Times New Roman" w:cs="Times New Roman" w:eastAsia="Times New Roman" w:hAnsi="Times New Roman"/>
          <w:sz w:val="21"/>
          <w:szCs w:val="21"/>
          <w:color w:val="auto"/>
        </w:rPr>
        <w:t>”). As of their respective SEC filing dates, the Company SEC Documents complied in all material respects with the requirements of the Securities Act, the Exchange Act 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eligible to file a registration statement on Form S-3,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 Each of the certifications and statements relating to the Company SEC Documents required by: (A) Rule 13a-14 or Rule 15d-14 under the Exchange Act; (B) 18 U.S.C. §1350 (Section 906 of the Sarbanes-Oxley Act); or (C) any other rule or regulation promulgated by the SEC or applicable to the Company SEC Documents is accurate and complete, and complies as to form and content in all material respects with all applicable Laws.</w:t>
      </w:r>
    </w:p>
    <w:p>
      <w:pPr>
        <w:spacing w:after="0" w:line="158"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financial statements of the Company (including all related notes or schedules) included or incorporated by reference in the Company SEC Documents (i) complied as to form, as of their respective dates of filing with the SEC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5" w:right="339" w:bottom="1440" w:gutter="0" w:footer="0" w:header="0"/>
        </w:sectPr>
      </w:pPr>
    </w:p>
    <w:bookmarkStart w:id="83" w:name="page84"/>
    <w:bookmarkEnd w:id="83"/>
    <w:p>
      <w:pPr>
        <w:jc w:val="both"/>
        <w:spacing w:after="0" w:line="220" w:lineRule="auto"/>
        <w:rPr>
          <w:sz w:val="20"/>
          <w:szCs w:val="20"/>
          <w:color w:val="auto"/>
        </w:rPr>
      </w:pPr>
      <w:r>
        <w:rPr>
          <w:rFonts w:ascii="Times New Roman" w:cs="Times New Roman" w:eastAsia="Times New Roman" w:hAnsi="Times New Roman"/>
          <w:sz w:val="21"/>
          <w:szCs w:val="21"/>
          <w:color w:val="auto"/>
        </w:rPr>
        <w:t>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49" w:lineRule="exact"/>
        <w:rPr>
          <w:sz w:val="20"/>
          <w:szCs w:val="20"/>
          <w:color w:val="auto"/>
        </w:rPr>
      </w:pPr>
    </w:p>
    <w:p>
      <w:pPr>
        <w:jc w:val="both"/>
        <w:ind w:firstLine="1905"/>
        <w:spacing w:after="0" w:line="218" w:lineRule="auto"/>
        <w:tabs>
          <w:tab w:leader="none" w:pos="2529"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any liabilities of any nature (whether accrued, absolute, contingent or otherwise) that would be required under GAAP, as in effect on the date hereof, to be reflected on a consolidated balance sheet of the Company (including the notes thereto) except liabilities (i) reflected or reserved against in the balance sheet (or the notes thereto) of the Company and its Subsidiaries as of July 1, 2022 (the “</w:t>
      </w:r>
      <w:r>
        <w:rPr>
          <w:rFonts w:ascii="Times New Roman" w:cs="Times New Roman" w:eastAsia="Times New Roman" w:hAnsi="Times New Roman"/>
          <w:sz w:val="21"/>
          <w:szCs w:val="21"/>
          <w:u w:val="single" w:color="auto"/>
          <w:color w:val="auto"/>
        </w:rPr>
        <w:t>Balance Sheet Date</w:t>
      </w:r>
      <w:r>
        <w:rPr>
          <w:rFonts w:ascii="Times New Roman" w:cs="Times New Roman" w:eastAsia="Times New Roman" w:hAnsi="Times New Roman"/>
          <w:sz w:val="21"/>
          <w:szCs w:val="21"/>
          <w:color w:val="auto"/>
        </w:rPr>
        <w:t>”) included in the Filed SEC Documents, (ii) incurred after the Balance Sheet Date in the ordinary course of business (other than any such liabilities related to any breach of Contract, violation of Law or tort) or (iii) as would not, individually or in the aggregate, reasonably be expected to have a Material Adverse Effect.</w:t>
      </w:r>
    </w:p>
    <w:p>
      <w:pPr>
        <w:spacing w:after="0" w:line="152" w:lineRule="exact"/>
        <w:rPr>
          <w:rFonts w:ascii="Times New Roman" w:cs="Times New Roman" w:eastAsia="Times New Roman" w:hAnsi="Times New Roman"/>
          <w:sz w:val="21"/>
          <w:szCs w:val="21"/>
          <w:color w:val="auto"/>
        </w:rPr>
      </w:pPr>
    </w:p>
    <w:p>
      <w:pPr>
        <w:jc w:val="both"/>
        <w:ind w:firstLine="1905"/>
        <w:spacing w:after="0" w:line="221" w:lineRule="auto"/>
        <w:tabs>
          <w:tab w:leader="none" w:pos="252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established and maintains, and at all times since July 3, 2021 has maintained, disclosure controls and procedures and a system of internal controls over financial reporting (as such terms are defined in paragraphs</w:t>
      </w:r>
    </w:p>
    <w:p>
      <w:pPr>
        <w:spacing w:after="0" w:line="1" w:lineRule="exact"/>
        <w:rPr>
          <w:rFonts w:ascii="Times New Roman" w:cs="Times New Roman" w:eastAsia="Times New Roman" w:hAnsi="Times New Roman"/>
          <w:sz w:val="21"/>
          <w:szCs w:val="21"/>
          <w:color w:val="auto"/>
        </w:rPr>
      </w:pPr>
    </w:p>
    <w:p>
      <w:pPr>
        <w:jc w:val="both"/>
        <w:ind w:firstLine="6"/>
        <w:spacing w:after="0" w:line="214" w:lineRule="auto"/>
        <w:tabs>
          <w:tab w:leader="none" w:pos="29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(f), respectively, of Rule 13a-15 under the Exchange Act) as required by Rule 13a-15 under the Exchange Act. Neither the Company nor, to the Knowledge of the Company, the Company’s independent registered public accounting firm, has identified or been made aware of “significant deficiencies” or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The Company is, and has been at all times since July 3, 2021, in compliance in all material respects with the applicable listing requirements and corporate governance rules and regulations of the NASDAQ.</w:t>
      </w:r>
    </w:p>
    <w:p>
      <w:pPr>
        <w:spacing w:after="0" w:line="153"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 Since July 2, 2022, except for the execution and performance of this Agreement and any other agreements contemplated hereby and the discussions, negotiations and transactions related thereto, there has not been any Material Adverse Effect.</w:t>
      </w:r>
    </w:p>
    <w:p>
      <w:pPr>
        <w:spacing w:after="0" w:line="147"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Except as would not, individually or in the aggregate, reasonably be expected to have a Material Adverse Effect, there is no (a) pending legal or administrative proceeding, suit, audit, charge, claim, investigation, arbitration or action (an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against the Company or any of its Subsidiaries and, to the Knowledge of the Company, no such Actions have been threatened by any Governmental Authority or any other Person or (b) outstanding order, judgment, injunction, ruling, writ or decree of any Governmental Authority (“</w:t>
      </w: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imposed upon the Company or any of its Subsidiaries, in each case, by or before any Governmental Authority.</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3.08</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the Company and each of its Subsidiaries are and since July 3, 2021 (or such later date as the applicable Laws may have come into effect) have been, in compliance with all state or federal laws, common law, statutes, ordinances, codes, rules or regulations, orders, executive orders, judgments, injunctions, governmental guidelines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5" w:right="339" w:bottom="1440" w:gutter="0" w:footer="0" w:header="0"/>
        </w:sectPr>
      </w:pPr>
    </w:p>
    <w:bookmarkStart w:id="84" w:name="page85"/>
    <w:bookmarkEnd w:id="84"/>
    <w:p>
      <w:pPr>
        <w:jc w:val="both"/>
        <w:spacing w:after="0" w:line="218" w:lineRule="auto"/>
        <w:rPr>
          <w:sz w:val="20"/>
          <w:szCs w:val="20"/>
          <w:color w:val="auto"/>
        </w:rPr>
      </w:pPr>
      <w:r>
        <w:rPr>
          <w:rFonts w:ascii="Times New Roman" w:cs="Times New Roman" w:eastAsia="Times New Roman" w:hAnsi="Times New Roman"/>
          <w:sz w:val="21"/>
          <w:szCs w:val="21"/>
          <w:color w:val="auto"/>
        </w:rPr>
        <w:t>interpretations having the force of law, Permits, decrees, or other similar requirement enacted, adopted, promulgated, or applied by any Governmental Authority (“</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or Judgments, in each case, that are applicable to the Company or any of its Subsidiaries, including the General Data Protection Regulation (EU) 2016/679, the Privacy and Electronic Communications Directive (2002/58/EC), and any national legislation implementing or supplementing the foregoing in the European Union, to the extent applicable. The Company and each of its Subsidiaries hold all licenses, franchises, permits, certificates, approvals and authorizations from Governmental Authorities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necessary for the lawful conduct of their respective businesses, except where the failure to hold the same would not individually or in the aggregate, reasonably be expected to have a Material Adverse Effect.</w:t>
      </w:r>
    </w:p>
    <w:p>
      <w:pPr>
        <w:spacing w:after="0" w:line="153" w:lineRule="exact"/>
        <w:rPr>
          <w:sz w:val="20"/>
          <w:szCs w:val="20"/>
          <w:color w:val="auto"/>
        </w:rPr>
      </w:pPr>
    </w:p>
    <w:p>
      <w:pPr>
        <w:jc w:val="both"/>
        <w:ind w:firstLine="1905"/>
        <w:spacing w:after="0"/>
        <w:tabs>
          <w:tab w:leader="none" w:pos="2528"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nor any of its Subsidiaries nor, to the Knowledge of the Company, any directors, officers, agents, employees or affiliates of the Company or any of its Subsidiaries is currently a person with whom dealings are prohibited under, or who is a subject of, any economic or other trade sanctions administered or enforced by the Office of Foreign Assets Control of the U.S. Department of the Treasury, the U.S. Department of Commerce or the U.S. Department of State, the United Nations Security Council, the European Union or His Majesty’s Treasury of the United Kingdom, or other relevant sanctions authority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and any such person, a “</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nor is the Company or any of its Subsidiaries located or organized in a country or territory that is the subject or target of country-wide or territory-wide Sanctions (currently, Cuba, Iran, North Korea, Syria and the Crimea, Donetsk and Luhansk regions of Ukraine) (each, a “</w:t>
      </w:r>
      <w:r>
        <w:rPr>
          <w:rFonts w:ascii="Times New Roman" w:cs="Times New Roman" w:eastAsia="Times New Roman" w:hAnsi="Times New Roman"/>
          <w:sz w:val="21"/>
          <w:szCs w:val="21"/>
          <w:u w:val="single" w:color="auto"/>
          <w:color w:val="auto"/>
        </w:rPr>
        <w:t>Sanctioned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Country</w:t>
      </w:r>
      <w:r>
        <w:rPr>
          <w:rFonts w:ascii="Times New Roman" w:cs="Times New Roman" w:eastAsia="Times New Roman" w:hAnsi="Times New Roman"/>
          <w:sz w:val="21"/>
          <w:szCs w:val="21"/>
          <w:color w:val="auto"/>
        </w:rPr>
        <w:t>”). The Company and its Subsidiaries have not for the past two years engaged in any dealings or transactions in violation of Sanctions.</w:t>
      </w:r>
    </w:p>
    <w:p>
      <w:pPr>
        <w:spacing w:after="0" w:line="147" w:lineRule="exact"/>
        <w:rPr>
          <w:rFonts w:ascii="Times New Roman" w:cs="Times New Roman" w:eastAsia="Times New Roman" w:hAnsi="Times New Roman"/>
          <w:sz w:val="21"/>
          <w:szCs w:val="21"/>
          <w:color w:val="auto"/>
        </w:rPr>
      </w:pPr>
    </w:p>
    <w:p>
      <w:pPr>
        <w:jc w:val="both"/>
        <w:ind w:firstLine="1905"/>
        <w:spacing w:after="0" w:line="221" w:lineRule="auto"/>
        <w:tabs>
          <w:tab w:leader="none" w:pos="2529"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nor any of its Subsidiaries, nor, to the Knowledge of the Company, any director, officer, agent, employee, affiliate or other person associated with or acting on behalf of the Company or any of its Subsidiaries has</w:t>
      </w:r>
    </w:p>
    <w:p>
      <w:pPr>
        <w:spacing w:after="0" w:line="1" w:lineRule="exact"/>
        <w:rPr>
          <w:rFonts w:ascii="Times New Roman" w:cs="Times New Roman" w:eastAsia="Times New Roman" w:hAnsi="Times New Roman"/>
          <w:sz w:val="21"/>
          <w:szCs w:val="21"/>
          <w:color w:val="auto"/>
        </w:rPr>
      </w:pPr>
    </w:p>
    <w:p>
      <w:pPr>
        <w:ind w:left="260" w:hanging="254"/>
        <w:spacing w:after="0" w:line="209" w:lineRule="auto"/>
        <w:tabs>
          <w:tab w:leader="none" w:pos="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any corporate funds for any unlawful contribution, gift, entertainment or other unlawful expense relating to political activity;</w:t>
      </w:r>
    </w:p>
    <w:p>
      <w:pPr>
        <w:jc w:val="both"/>
        <w:ind w:firstLine="6"/>
        <w:spacing w:after="0" w:line="219" w:lineRule="auto"/>
        <w:tabs>
          <w:tab w:leader="none" w:pos="3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any direct or indirect unlawful payment or benefit to any foreign or domestic government official or employee from corporate funds; or (iii) violated or is in violation of the United States Foreign Corrupt Practices Act of 1977, as amended. The Company and its Subsidiaries have instituted, maintained and enforced and will continue to maintain and enforce policies and procedures designed to promote compliance with all applicable anti-bribery and anti-corruption laws.</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operations of the Company and its Subsidiaries are and have been conducted at all times in material compliance with applicable anti-money laundering laws, and no action, suit or proceeding by or before any court or governmental agency, authority or body or any arbitrator involving the Company or any of its Subsidiaries with respect to any applicable anti-money laundering law is pending or, to the Knowledge of the Company, threatened.</w:t>
      </w:r>
    </w:p>
    <w:p>
      <w:pPr>
        <w:spacing w:after="0" w:line="149"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9"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operations of the Company and its Subsidiaries are and have been conducted at all times in material compliance with all Laws applicable to the Company and its Subsidiaries relating to export, reexport, transfer, and import controls, including the Export Administration Regulations, the International Traffic in Arms Regulations, and the customs and import Laws administered by U.S. Customs and Border Protection (collectively, “</w:t>
      </w:r>
      <w:r>
        <w:rPr>
          <w:rFonts w:ascii="Times New Roman" w:cs="Times New Roman" w:eastAsia="Times New Roman" w:hAnsi="Times New Roman"/>
          <w:sz w:val="21"/>
          <w:szCs w:val="21"/>
          <w:u w:val="single" w:color="auto"/>
          <w:color w:val="auto"/>
        </w:rPr>
        <w:t>Ex-Im Laws</w:t>
      </w:r>
      <w:r>
        <w:rPr>
          <w:rFonts w:ascii="Times New Roman" w:cs="Times New Roman" w:eastAsia="Times New Roman" w:hAnsi="Times New Roman"/>
          <w:sz w:val="21"/>
          <w:szCs w:val="21"/>
          <w:color w:val="auto"/>
        </w:rPr>
        <w:t>”), and no action, suit or proceeding by or before any court or governmental agency, authority or body or any arbitrator involving the Company or any of its Subsidiaries with respect to any applicable anti-money laundering law is pending or, to the Knowledge of the Company,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-3111500</wp:posOffset>
            </wp:positionV>
            <wp:extent cx="419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85" w:name="page86"/>
    <w:bookmarkEnd w:id="85"/>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Each Contract that is material to the business of the Company and its Subsidiaries, taken as a whole (each, a “</w:t>
      </w:r>
      <w:r>
        <w:rPr>
          <w:rFonts w:ascii="Times New Roman" w:cs="Times New Roman" w:eastAsia="Times New Roman" w:hAnsi="Times New Roman"/>
          <w:sz w:val="21"/>
          <w:szCs w:val="21"/>
          <w:u w:val="single" w:color="auto"/>
          <w:color w:val="auto"/>
        </w:rPr>
        <w:t>Material Contract</w:t>
      </w:r>
      <w:r>
        <w:rPr>
          <w:rFonts w:ascii="Times New Roman" w:cs="Times New Roman" w:eastAsia="Times New Roman" w:hAnsi="Times New Roman"/>
          <w:sz w:val="21"/>
          <w:szCs w:val="21"/>
          <w:color w:val="auto"/>
        </w:rPr>
        <w:t>”), and to which the Company or any of its Subsidiaries is a party or by which the Company, any of its Subsidiaries or any of their respective properties or assets is bound is valid, binding and enforceable on the Company and any of its Subsidiaries to the extent such Person is a party thereto, as applicable, and to the Knowledge of the Company, each other party thereto, and is in full force and effect, except where the failure to be valid, binding or in full force and effect, individually or in the aggregate, has not had and would not reasonably be expected to have a Material Adverse Effect. The Company and each of its Subsidiaries, and, to the Knowledge of the Company, any other party thereto, is in compliance in all material respects with all Material Contracts and has performed all obligations required to be performed by it, except where such noncompliance, individually or in the aggregate, has not had and would not reasonably be expected to have a Material Adverse Effect.</w:t>
      </w:r>
    </w:p>
    <w:p>
      <w:pPr>
        <w:spacing w:after="0" w:line="154"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would not, individually or in the aggregate, reasonably be expected to have a Material Adverse Effect: (a) the Company and each of its Subsidiaries has prepared (or caused to be prepared) and timely filed (taking into account valid extensions of time within which to file) all Tax Returns required to be filed by any of them, and all such filed Tax Returns (taking into account all amendments thereto) are true, complete and accurate, (b) all Taxes owed by the Company and each of its Subsidiaries that are due (whether or not shown on any Tax Return) have been timely paid except for Taxes which are being contested in good faith by appropriate proceedings which have been adequately reserved against in accordance with GAAP,</w:t>
      </w:r>
    </w:p>
    <w:p>
      <w:pPr>
        <w:spacing w:after="0" w:line="4" w:lineRule="exact"/>
        <w:rPr>
          <w:sz w:val="20"/>
          <w:szCs w:val="20"/>
          <w:color w:val="auto"/>
        </w:rPr>
      </w:pPr>
    </w:p>
    <w:p>
      <w:pPr>
        <w:jc w:val="both"/>
        <w:ind w:firstLine="6"/>
        <w:spacing w:after="0" w:line="216" w:lineRule="auto"/>
        <w:tabs>
          <w:tab w:leader="none" w:pos="29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examination or audit of any Tax Return relating to any Taxes of the Company or any of its Subsidiaries or with respect to any Taxes due from or with respect to the Company or any of its Subsidiaries by any Taxing Authority is currently in progress or threatened in writing, (d) none of the Company or any of its Subsidiaries has engaged in, or has any liability or obligation with respect to, any “listed transaction” within the meaning of Treasury Regulations Section 1.6011-4(b)(2) and (e) neither the Company nor any of its Subsidiaries has distributed stock of another Person, or has had its stock distributed by another Person, in a transaction that was or was purported or intended to be governed in whole or in part by Section 355 or 361 of the Code.</w:t>
      </w:r>
    </w:p>
    <w:p>
      <w:pPr>
        <w:spacing w:after="0" w:line="149"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Real Property Holding Corporation</w:t>
      </w:r>
      <w:r>
        <w:rPr>
          <w:rFonts w:ascii="Times New Roman" w:cs="Times New Roman" w:eastAsia="Times New Roman" w:hAnsi="Times New Roman"/>
          <w:sz w:val="21"/>
          <w:szCs w:val="21"/>
          <w:color w:val="auto"/>
        </w:rPr>
        <w:t>. The Company is not currently and has not been during the prior five (5) years a United States real property holding corporation (a “</w:t>
      </w:r>
      <w:r>
        <w:rPr>
          <w:rFonts w:ascii="Times New Roman" w:cs="Times New Roman" w:eastAsia="Times New Roman" w:hAnsi="Times New Roman"/>
          <w:sz w:val="21"/>
          <w:szCs w:val="21"/>
          <w:u w:val="single" w:color="auto"/>
          <w:color w:val="auto"/>
        </w:rPr>
        <w:t>USRPHC</w:t>
      </w:r>
      <w:r>
        <w:rPr>
          <w:rFonts w:ascii="Times New Roman" w:cs="Times New Roman" w:eastAsia="Times New Roman" w:hAnsi="Times New Roman"/>
          <w:sz w:val="21"/>
          <w:szCs w:val="21"/>
          <w:color w:val="auto"/>
        </w:rPr>
        <w:t>”) within the meaning of Section 897 of the Code. If the Flash Business were, as of the date hereof, owned by a single domestic corporation which held no other businesses or assets, such corporation would not be a USRPHC within the meaning of Section 897 of the Code.</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u w:val="single" w:color="auto"/>
          <w:color w:val="auto"/>
        </w:rPr>
        <w:t>No Rights Agreement; Anti-Takeover Provisions</w:t>
      </w:r>
      <w:r>
        <w:rPr>
          <w:rFonts w:ascii="Times New Roman" w:cs="Times New Roman" w:eastAsia="Times New Roman" w:hAnsi="Times New Roman"/>
          <w:sz w:val="21"/>
          <w:szCs w:val="21"/>
          <w:color w:val="auto"/>
        </w:rPr>
        <w:t>. The Company is not party to a stockholder rights agreement, “poison pill” or similar anti-takeover agreement or plan.</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3.13 </w:t>
      </w:r>
      <w:r>
        <w:rPr>
          <w:rFonts w:ascii="Times New Roman" w:cs="Times New Roman" w:eastAsia="Times New Roman" w:hAnsi="Times New Roman"/>
          <w:sz w:val="21"/>
          <w:szCs w:val="21"/>
          <w:u w:val="single" w:color="auto"/>
          <w:color w:val="auto"/>
        </w:rPr>
        <w:t>Brokers and Other Advisors</w:t>
      </w:r>
      <w:r>
        <w:rPr>
          <w:rFonts w:ascii="Times New Roman" w:cs="Times New Roman" w:eastAsia="Times New Roman" w:hAnsi="Times New Roman"/>
          <w:sz w:val="21"/>
          <w:szCs w:val="21"/>
          <w:color w:val="auto"/>
        </w:rPr>
        <w:t xml:space="preserve"> . Except for Qatalyst Partners LP (“</w:t>
      </w:r>
      <w:r>
        <w:rPr>
          <w:rFonts w:ascii="Times New Roman" w:cs="Times New Roman" w:eastAsia="Times New Roman" w:hAnsi="Times New Roman"/>
          <w:sz w:val="21"/>
          <w:szCs w:val="21"/>
          <w:u w:val="single" w:color="auto"/>
          <w:color w:val="auto"/>
        </w:rPr>
        <w:t>Qatalyst</w:t>
      </w:r>
      <w:r>
        <w:rPr>
          <w:rFonts w:ascii="Times New Roman" w:cs="Times New Roman" w:eastAsia="Times New Roman" w:hAnsi="Times New Roman"/>
          <w:sz w:val="21"/>
          <w:szCs w:val="21"/>
          <w:color w:val="auto"/>
        </w:rPr>
        <w:t>”), Lazard Ltd (“</w:t>
      </w:r>
      <w:r>
        <w:rPr>
          <w:rFonts w:ascii="Times New Roman" w:cs="Times New Roman" w:eastAsia="Times New Roman" w:hAnsi="Times New Roman"/>
          <w:sz w:val="21"/>
          <w:szCs w:val="21"/>
          <w:u w:val="single" w:color="auto"/>
          <w:color w:val="auto"/>
        </w:rPr>
        <w:t>Lazard</w:t>
      </w:r>
      <w:r>
        <w:rPr>
          <w:rFonts w:ascii="Times New Roman" w:cs="Times New Roman" w:eastAsia="Times New Roman" w:hAnsi="Times New Roman"/>
          <w:sz w:val="21"/>
          <w:szCs w:val="21"/>
          <w:color w:val="auto"/>
        </w:rPr>
        <w:t>”) and J.P. Morgan Securities LLC (“</w:t>
      </w:r>
      <w:r>
        <w:rPr>
          <w:rFonts w:ascii="Times New Roman" w:cs="Times New Roman" w:eastAsia="Times New Roman" w:hAnsi="Times New Roman"/>
          <w:sz w:val="21"/>
          <w:szCs w:val="21"/>
          <w:u w:val="single" w:color="auto"/>
          <w:color w:val="auto"/>
        </w:rPr>
        <w:t>J.P. Morgan</w:t>
      </w:r>
      <w:r>
        <w:rPr>
          <w:rFonts w:ascii="Times New Roman" w:cs="Times New Roman" w:eastAsia="Times New Roman" w:hAnsi="Times New Roman"/>
          <w:sz w:val="21"/>
          <w:szCs w:val="21"/>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3.14</w:t>
      </w:r>
      <w:r>
        <w:rPr>
          <w:sz w:val="20"/>
          <w:szCs w:val="20"/>
          <w:color w:val="auto"/>
        </w:rPr>
        <w:tab/>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31" w:lineRule="auto"/>
        <w:tabs>
          <w:tab w:leader="none" w:pos="252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(i) each material Company Plan has been established, operated, maintained and administered in accordance with its terms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5" w:right="339" w:bottom="1440" w:gutter="0" w:footer="0" w:header="0"/>
        </w:sectPr>
      </w:pPr>
    </w:p>
    <w:bookmarkStart w:id="86" w:name="page87"/>
    <w:bookmarkEnd w:id="86"/>
    <w:p>
      <w:pPr>
        <w:jc w:val="both"/>
        <w:spacing w:after="0" w:line="213" w:lineRule="auto"/>
        <w:rPr>
          <w:sz w:val="20"/>
          <w:szCs w:val="20"/>
          <w:color w:val="auto"/>
        </w:rPr>
      </w:pPr>
      <w:r>
        <w:rPr>
          <w:rFonts w:ascii="Times New Roman" w:cs="Times New Roman" w:eastAsia="Times New Roman" w:hAnsi="Times New Roman"/>
          <w:sz w:val="21"/>
          <w:szCs w:val="21"/>
          <w:color w:val="auto"/>
        </w:rPr>
        <w:t>compliance with the applicable provisions of ERISA, the Code and other applicable Laws; (ii) no material Company Plan subject to the Laws outside of the United States which covers individual service providers located outside of the United States has any unfunded or underfunded liabilities or obligations; and (iii) to the Knowledge of the Company, each “multiemployer plan” (as defined in Section 4001 of ERISA) to which the Company, its Subsidiaries or their respective ERISA Affiliates contributes (a “</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is in compliance with ERISA. Except as would not, individually or in the aggregate, have a Material Adverse Effect, (i) no “reportable event” (within the meaning of Section 4043(c) of ERISA) has occurred or, to the Knowledge of the Company, is reasonably expected to occur with respect to any “employee pension benefit plan” (as defined under Section 3(2) of ERISA) established or maintained by the Company, its Subsidiaries or any of their respective ERISA Affiliates; (ii) no “single-employer plan” (as defined in Section 4001 of ERISA) established or maintained by the Company, its Subsidiaries or any of their respective ERISA Affiliates, if such “single-employer plan” were terminated, would have any “amount of unfunded benefit liabilities” (as defined under Section 4001 of ERISA); (iii) neither the Company, its Subsidiaries nor any of their respective ERISA Affiliates has incurred or, to the Knowledge of the Company, reasonably expects to incur (A) any liability under Title IV of ERISA with respect to termination of, or withdrawal from, any “employee benefit plan” or (B) any liability under Section 412 of the Code or tax imposed by Section 4971, 4975 or 4980B of the Code; and (iv) each “employee pension benefit plan” established or maintained by the Company, its Subsidiaries or any of their respective ERISA Affiliates that is intended to be qualified under Section 401 of the Code is so qualified and, to the Knowledge of the Company, nothing has occurred, whether by action or failure to act, which would reasonably be expected to cause the loss of such qualification.</w:t>
      </w:r>
    </w:p>
    <w:p>
      <w:pPr>
        <w:spacing w:after="0" w:line="155" w:lineRule="exact"/>
        <w:rPr>
          <w:sz w:val="20"/>
          <w:szCs w:val="20"/>
          <w:color w:val="auto"/>
        </w:rPr>
      </w:pPr>
    </w:p>
    <w:p>
      <w:pPr>
        <w:jc w:val="both"/>
        <w:ind w:firstLine="1905"/>
        <w:spacing w:after="0" w:line="222" w:lineRule="auto"/>
        <w:tabs>
          <w:tab w:leader="none" w:pos="252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and delivery of this Agreement nor the consummation of the transactions contemplated hereby will (either alone or together with the occurrence of a subsequent event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termination of employment or service)) (i) result in any material payment becoming due, or materially increase the amount of any compensation or benefits due, to any current or former employee of the Company and its Subsidiaries or with respect to any Company Plan; or (ii) result in the acceleration of the time of payment or vesting of any compensation or benefits.</w:t>
      </w:r>
    </w:p>
    <w:p>
      <w:pPr>
        <w:spacing w:after="0" w:line="149"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3.15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The Company and its Subsidiaries, taken as a whole, have not sustained since the date of the latest audited financial statements any material loss or interference with its business from (i) fire, explosion, flood or other calamity, whether or not covered by insurance, (ii) any labor dispute or court or governmental action, order or decree or (iii) any Actions against the Company or any of its Subsidiaries alleging violation of any Labor Laws or breach of any collective bargaining agreement. Except as would not, individually or in the aggregate, reasonably be expected to have a Material Adverse Effect, each of the Company and its Subsidiaries is in compliance with all Labor Laws. Except as disclosed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neither the Company nor any of its Subsidiaries is party to or bound by any collective bargaining agreement or Contract with any labor organization, labor union, or works council, nor to the Knowledge of the Company, are there any union organizational activities or proceedings to organize any employees of the Company or any of its Subsidiaries. There are no active, nor, to the Knowledge of the Company, threatened, labor strikes, slowdowns, work stoppages, pickets, walkouts, lockouts or other collective labor actions by or with respect to the employees of the Company or any of its Subsidiaries.</w:t>
      </w:r>
    </w:p>
    <w:p>
      <w:pPr>
        <w:spacing w:after="0" w:line="153"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3.16 </w:t>
      </w:r>
      <w:r>
        <w:rPr>
          <w:rFonts w:ascii="Times New Roman" w:cs="Times New Roman" w:eastAsia="Times New Roman" w:hAnsi="Times New Roman"/>
          <w:sz w:val="21"/>
          <w:szCs w:val="21"/>
          <w:u w:val="single" w:color="auto"/>
          <w:color w:val="auto"/>
        </w:rPr>
        <w:t>Sale of Securities</w:t>
      </w:r>
      <w:r>
        <w:rPr>
          <w:rFonts w:ascii="Times New Roman" w:cs="Times New Roman" w:eastAsia="Times New Roman" w:hAnsi="Times New Roman"/>
          <w:sz w:val="21"/>
          <w:szCs w:val="21"/>
          <w:color w:val="auto"/>
        </w:rPr>
        <w:t xml:space="preserve">. Based in part on the representations and warranties set forth in </w:t>
      </w:r>
      <w:r>
        <w:rPr>
          <w:rFonts w:ascii="Times New Roman" w:cs="Times New Roman" w:eastAsia="Times New Roman" w:hAnsi="Times New Roman"/>
          <w:sz w:val="21"/>
          <w:szCs w:val="21"/>
          <w:u w:val="single" w:color="auto"/>
          <w:color w:val="auto"/>
        </w:rPr>
        <w:t>Section 4.05</w:t>
      </w:r>
      <w:r>
        <w:rPr>
          <w:rFonts w:ascii="Times New Roman" w:cs="Times New Roman" w:eastAsia="Times New Roman" w:hAnsi="Times New Roman"/>
          <w:sz w:val="21"/>
          <w:szCs w:val="21"/>
          <w:color w:val="auto"/>
        </w:rPr>
        <w:t>, the sale and offer of the Acquired Shares pursuant to this Agreement is exempt from the registration and prospectus delivery requirements of the Securities Act. Without limiting the foregoing, neither the Company nor, to the Knowledge of the Company, any other Person authorized by the Company to act on its behalf, has engaged in a general solicitation or general advertising (within the meaning of Regulation D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5" w:right="339" w:bottom="1440" w:gutter="0" w:footer="0" w:header="0"/>
        </w:sectPr>
      </w:pPr>
    </w:p>
    <w:bookmarkStart w:id="87" w:name="page88"/>
    <w:bookmarkEnd w:id="87"/>
    <w:p>
      <w:pPr>
        <w:jc w:val="both"/>
        <w:spacing w:after="0" w:line="220" w:lineRule="auto"/>
        <w:rPr>
          <w:sz w:val="20"/>
          <w:szCs w:val="20"/>
          <w:color w:val="auto"/>
        </w:rPr>
      </w:pPr>
      <w:r>
        <w:rPr>
          <w:rFonts w:ascii="Times New Roman" w:cs="Times New Roman" w:eastAsia="Times New Roman" w:hAnsi="Times New Roman"/>
          <w:sz w:val="21"/>
          <w:szCs w:val="21"/>
          <w:color w:val="auto"/>
        </w:rPr>
        <w:t>Act) of investors with respect to offers or sales of Preferred Stock, and neither the Company nor, to the Knowledge of the Company, any Person acting on its behalf has made any offers or sales of any security or solicited any offers to buy any security, under circumstances that would cause the offering or issuance of Preferred Stock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Preferred Stock under this Agreement to be integrated with other offerings by the Company.</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Listing and Maintenance Requirements</w:t>
      </w:r>
      <w:r>
        <w:rPr>
          <w:rFonts w:ascii="Times New Roman" w:cs="Times New Roman" w:eastAsia="Times New Roman" w:hAnsi="Times New Roman"/>
          <w:sz w:val="21"/>
          <w:szCs w:val="21"/>
          <w:color w:val="auto"/>
        </w:rPr>
        <w:t>. The Common Stock is registered pursuant to Section 12(b) of the Exchange Act and listed on the NASDAQ, and the Company has taken no action designed to, or which to the Knowledge of the Company is reasonably likely to have the effect of, terminating the registration of the Common Stock under the Exchange Act or delisting the Common Stock from the NASDAQ, nor has the Company received as of the date of this Agreement any notification that the SEC or the NASDAQ is contemplating terminating such registration or listing or otherwise.</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3.18 </w:t>
      </w:r>
      <w:r>
        <w:rPr>
          <w:rFonts w:ascii="Times New Roman" w:cs="Times New Roman" w:eastAsia="Times New Roman" w:hAnsi="Times New Roman"/>
          <w:sz w:val="21"/>
          <w:szCs w:val="21"/>
          <w:u w:val="single" w:color="auto"/>
          <w:color w:val="auto"/>
        </w:rPr>
        <w:t>Status of Securities</w:t>
      </w:r>
      <w:r>
        <w:rPr>
          <w:rFonts w:ascii="Times New Roman" w:cs="Times New Roman" w:eastAsia="Times New Roman" w:hAnsi="Times New Roman"/>
          <w:sz w:val="21"/>
          <w:szCs w:val="21"/>
          <w:color w:val="auto"/>
        </w:rPr>
        <w:t xml:space="preserve">. As a result of the approval by the Board referred to in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 the Acquired Shares to be issued pursuant to this Agreement, and the shares of Common Stock to be issued upon conversion of the Acquired Shares, have been duly authorized and reserved for issuance by all necessary corporate action of the Company. The respective rights, preferences, privileges, and restrictions of the Preferred Stock and the Common Stock are as stated in the Company Charter Documents (including the Certificate of Designations).</w:t>
      </w:r>
    </w:p>
    <w:p>
      <w:pPr>
        <w:spacing w:after="0" w:line="149"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3.19 </w:t>
      </w:r>
      <w:r>
        <w:rPr>
          <w:rFonts w:ascii="Times New Roman" w:cs="Times New Roman" w:eastAsia="Times New Roman" w:hAnsi="Times New Roman"/>
          <w:sz w:val="21"/>
          <w:szCs w:val="21"/>
          <w:u w:val="single" w:color="auto"/>
          <w:color w:val="auto"/>
        </w:rPr>
        <w:t>NASDAQ Notification</w:t>
      </w:r>
      <w:r>
        <w:rPr>
          <w:rFonts w:ascii="Times New Roman" w:cs="Times New Roman" w:eastAsia="Times New Roman" w:hAnsi="Times New Roman"/>
          <w:sz w:val="21"/>
          <w:szCs w:val="21"/>
          <w:color w:val="auto"/>
        </w:rPr>
        <w:t>. The Company has provided the applicable listing of additional shares notification to NASDAQ, and received oral confirmation from NASDAQ that the listing of additional shares review process has been completed, and NASDAQ has not made any objection (not subsequently withdrawn) that the consummation of the transactions contemplated by this Agreement would violate NASDAQ listing rules applicable to the Company and that if not withdrawn would result in the delisting of the shares of Common Stock issuable upon the conversion of the Preferred Stock issued to the Investor pursuant to this Agreement and pursuant to the Certificate of Designations.</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3.20</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 the Credit Agreement,(ii) the Indenture or (iii) the Delayed Draw Facility, the Company is not party to any Contract, and is not subject to any provision in the Company Charter Documents or other governing documents or resolutions of the Board that, in each case, by its terms restricts, limits, prohibits or prevents the Company from paying dividends in form and the amounts contemplated by the Certificate of Designations.</w:t>
      </w:r>
    </w:p>
    <w:p>
      <w:pPr>
        <w:spacing w:after="0" w:line="149"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and, to the Knowledge of the Company, each of the other parties thereto, are not in material breach of, default or violation under, the Revolving Credit Facility or the Indenture and no event has occurred that with notice or lapse of time, or both, would constitute such a material breach, default or violation.</w:t>
      </w:r>
    </w:p>
    <w:p>
      <w:pPr>
        <w:spacing w:after="0" w:line="147"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3.21 </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The Company and its Subsidiaries collectively have good and marketable title in fee simple to all real property and good and marketable title to all items of personal property owned by them which are material to the business of the Company and its Subsidiaries, taken as a whole, in each case free and clear of all liens, encumbrances and defects, except such as do not materially interfere with the use of such property by the Company and its Subsidiaries; and any material real property and buildings held under lease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88" w:name="page89"/>
    <w:bookmarkEnd w:id="88"/>
    <w:p>
      <w:pPr>
        <w:jc w:val="both"/>
        <w:spacing w:after="0" w:line="220" w:lineRule="auto"/>
        <w:rPr>
          <w:sz w:val="20"/>
          <w:szCs w:val="20"/>
          <w:color w:val="auto"/>
        </w:rPr>
      </w:pPr>
      <w:r>
        <w:rPr>
          <w:rFonts w:ascii="Times New Roman" w:cs="Times New Roman" w:eastAsia="Times New Roman" w:hAnsi="Times New Roman"/>
          <w:sz w:val="21"/>
          <w:szCs w:val="21"/>
          <w:color w:val="auto"/>
        </w:rPr>
        <w:t>Company and its Subsidiaries are held by them under valid, subsisting and enforceable leases with such exceptions as are not material and do not materially interfere with the use of such property by the Company and its Subsidiaries. Except as, individually or in the aggregate, has not had and would not reasonably be expected to have a Material Adverse Effect, there have been no releases of hazardous substances at, on, or under any facility currently owned by the Company or any of its Subsidiaries or any Leased Real Property that would reasonably be expected to give rise to liability under applicable Laws regarding pollution or protection of the environment.</w:t>
      </w:r>
    </w:p>
    <w:p>
      <w:pPr>
        <w:spacing w:after="0" w:line="149"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3.22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Except as would not, individually or in the aggregate, reasonably be expected to have a Material Adverse Effect (i) the Company and each of its Subsidiaries possess valid and enforceable rights to use all trademarks, logos, trade names, Internet domain names, patent rights, copyrights, trade secrets, know-how, rights in computer software and other similar intellectual property rights (together with all goodwill associated with, any registrations of, or applications for registration of any of the foregoing, collectively, “</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that are used in the operation of the Company and its Subsidiaries as currently conducted; (ii) all Owned Intellectual Property are valid and enforceable; (iii) to the Knowledge of the Company, no Person has infringed upon, misappropriated or otherwise violated any of the Owned Intellectual Property; (iv) the conduct of the business of the Company and its Subsidiaries has not infringed, misappropriated, or violated at any time since July 3, 2021, and does not infringe, misappropriate or violate, the Intellectual Property Rights of any other Person; (v) the Company and its Subsidiaries have taken commercially reasonable steps to maintain the confidentiality of the material trade secrets owned (or purported to be owned) by the Company or any of its Subsidiaries; (vi) no material source code owned (or purported to be owned) by the Company or any of its Subsidiaries has been disclosed or otherwise made available to any Person (excluding an escrow agent), and, to the Knowledge of the Company, no circumstance or condition exists that (with or without notice or lapse of time, or both) would result in a requirement that any such source code be disclosed, licensed or made available to any third party (other than an escrow agent); and (vii) neither the Company nor any of its Subsidiaries has received any notice of any third-party allegations or claims that (A) the Company or any of its Subsidiaries or the conduct of their respective businesses infringe or conflict with asserted Intellectual Property Rights of others or (B) challenge the ownership or validity of any Owned Intellectual Property.</w:t>
      </w:r>
    </w:p>
    <w:p>
      <w:pPr>
        <w:spacing w:after="0" w:line="15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3.23 </w:t>
      </w:r>
      <w:r>
        <w:rPr>
          <w:rFonts w:ascii="Times New Roman" w:cs="Times New Roman" w:eastAsia="Times New Roman" w:hAnsi="Times New Roman"/>
          <w:sz w:val="21"/>
          <w:szCs w:val="21"/>
          <w:u w:val="single" w:color="auto"/>
          <w:color w:val="auto"/>
        </w:rPr>
        <w:t>Data Security; Privacy</w:t>
      </w:r>
      <w:r>
        <w:rPr>
          <w:rFonts w:ascii="Times New Roman" w:cs="Times New Roman" w:eastAsia="Times New Roman" w:hAnsi="Times New Roman"/>
          <w:sz w:val="21"/>
          <w:szCs w:val="21"/>
          <w:color w:val="auto"/>
        </w:rPr>
        <w:t>. Except as would not, individually or in the aggregate, reasonably be expected to have a Material Adverse Effect, (i) to the Knowledge of the Company and its Subsidiaries, since July 3, 2021, there has been no security breach or incident, unauthorized access or disclosure, or other compromise of the Company’s and its Subsidiaries’ information technology and computer systems, networks, equipment, hardware, software, data and databases, including all personally identifiable information and sensitive and confidential data maintained, processed or stored by the Company and its Subsidiaries (collectively, “</w:t>
      </w:r>
      <w:r>
        <w:rPr>
          <w:rFonts w:ascii="Times New Roman" w:cs="Times New Roman" w:eastAsia="Times New Roman" w:hAnsi="Times New Roman"/>
          <w:sz w:val="21"/>
          <w:szCs w:val="21"/>
          <w:u w:val="single" w:color="auto"/>
          <w:color w:val="auto"/>
        </w:rPr>
        <w:t>IT Systems and Data</w:t>
      </w:r>
      <w:r>
        <w:rPr>
          <w:rFonts w:ascii="Times New Roman" w:cs="Times New Roman" w:eastAsia="Times New Roman" w:hAnsi="Times New Roman"/>
          <w:sz w:val="21"/>
          <w:szCs w:val="21"/>
          <w:color w:val="auto"/>
        </w:rPr>
        <w:t>”), and any such personally identifiable information and sensitive and confidential data of the Company and its Subsidiaries that is processed or stored by third parties on behalf of the Company and its Subsidiaries, except for those that have been remedied; (ii) the Company and its Subsidiaries have implemented and maintain controls, policies, procedures, and technological safeguards designed to maintain and protect the integrity, continuous operation, redundancy and security of their IT Systems and Data reasonably consistent with industry standards, or as required by applicable laws or statutes; and (iii) the Company and its Subsidiaries are presently in compliance with, and since July 3, 2021 have complied with, all applicable laws or statutes relating to privacy and security of IT Systems and Data.</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3.24 </w:t>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 None of the officers or directors of the Company is presently a party to any transaction with the Company or any of its Subsidiaries (other than as holders of options, and/or other grants or awards under the Company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5" w:right="339" w:bottom="1440" w:gutter="0" w:footer="0" w:header="0"/>
        </w:sectPr>
      </w:pPr>
    </w:p>
    <w:bookmarkStart w:id="89" w:name="page90"/>
    <w:bookmarkEnd w:id="89"/>
    <w:p>
      <w:pPr>
        <w:jc w:val="both"/>
        <w:spacing w:after="0" w:line="222" w:lineRule="auto"/>
        <w:rPr>
          <w:sz w:val="20"/>
          <w:szCs w:val="20"/>
          <w:color w:val="auto"/>
        </w:rPr>
      </w:pPr>
      <w:r>
        <w:rPr>
          <w:rFonts w:ascii="Times New Roman" w:cs="Times New Roman" w:eastAsia="Times New Roman" w:hAnsi="Times New Roman"/>
          <w:sz w:val="21"/>
          <w:szCs w:val="21"/>
          <w:color w:val="auto"/>
        </w:rPr>
        <w:t>and for services as employees, officers and directors) that is material to the Company and its Subsidiaries, taken as a whole. Since July 3, 2021, neither the Company nor any Subsidiary has entered into any transaction between the Company or any of its Subsidiaries, on the one hand, and any Affiliate of the Company (other than (i) between the Company itself and any of its Subsidiaries or (ii) between any of the Subsidiaries themselves), on the other hand, except in compliance with the Company’s related party transaction policy.</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3.25 </w:t>
      </w:r>
      <w:r>
        <w:rPr>
          <w:rFonts w:ascii="Times New Roman" w:cs="Times New Roman" w:eastAsia="Times New Roman" w:hAnsi="Times New Roman"/>
          <w:sz w:val="21"/>
          <w:szCs w:val="21"/>
          <w:u w:val="single" w:color="auto"/>
          <w:color w:val="auto"/>
        </w:rPr>
        <w:t>Elliott Transaction Documents</w:t>
      </w:r>
      <w:r>
        <w:rPr>
          <w:rFonts w:ascii="Times New Roman" w:cs="Times New Roman" w:eastAsia="Times New Roman" w:hAnsi="Times New Roman"/>
          <w:sz w:val="21"/>
          <w:szCs w:val="21"/>
          <w:color w:val="auto"/>
        </w:rPr>
        <w:t>. As of the date hereof, the Elliott Transaction Documents have not been amended, waived or modified by or with the consent of the Company or any of its Subsidiaries, and no such amendment, waiver, modification, withdrawal or rescission is contemplated. Except for the Elliott Transaction Documents, neither the Company nor any of its Subsidiaries has entered into any side letters or other contracts, instruments or other commitments, obligations or arrangements (whether written or oral) related to the transactions contemplated by the Elliott Transaction Documents.</w:t>
      </w:r>
    </w:p>
    <w:p>
      <w:pPr>
        <w:spacing w:after="0" w:line="149"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3.26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Except for the representations and warranties made by the Company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in any Transaction Documents or in any certificate or other document delivered in connection with this Agreement or the Transaction Documents, neither the Company nor any other Person acting on its behalf makes any other express or implied representation or warranty with respect to the Preferred Stock, the Common Stock, the Company or any of its Subsidiaries or their respective businesses, operations, properties, assets, liabilities, condition (financial or otherwise) or prospects, notwithstanding the delivery or disclosure to the Investor or its Representatives of any documentation, forecasts or other information with respect to any one or more of the foregoing, and the Investor acknowledges the foregoing. In particular, and without limiting the generality of the foregoing, except for the representations and warranties made by the Company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Transaction Documents, or in any certificate or other document delivered in connection with this Agreement or the Transaction Documents, neither the Company nor any other Person makes or has made any express or implied representation or warranty to the Investor or its Representatives with respect to (a) any financial projection, forecast, estimate, budget or prospect information relating to the Company, any of its Subsidiaries or their respective businesses or (b) any oral or written information presented to the Investor or its Representatives in the course of its due diligence investigation of the Company, the negotiation of this Agreement or the course of the Transactions or any other transactions or potential transactions involving the Company and the Investor.</w:t>
      </w:r>
    </w:p>
    <w:p>
      <w:pPr>
        <w:spacing w:after="0" w:line="1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Investor</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Investor represents and warrants to the Company:</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Organization; Standing</w:t>
      </w:r>
      <w:r>
        <w:rPr>
          <w:rFonts w:ascii="Times New Roman" w:cs="Times New Roman" w:eastAsia="Times New Roman" w:hAnsi="Times New Roman"/>
          <w:sz w:val="21"/>
          <w:szCs w:val="21"/>
          <w:color w:val="auto"/>
        </w:rPr>
        <w:t>. The Investor is duly organized, validly existing and in good standing under the Laws of its jurisdiction of organization and has all requisite limited partnership power and authority to carry on its business as presently conducted.</w:t>
      </w:r>
    </w:p>
    <w:p>
      <w:pPr>
        <w:spacing w:after="0" w:line="147"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2" w:lineRule="auto"/>
        <w:tabs>
          <w:tab w:leader="none" w:pos="252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 has all necessary power and authority to execute and deliver this Agreement and the other Transaction Documents to which it is a party and to perform its obligations hereunder and thereunder and to consummate the Transactions. The execution, delivery and performance by the Investor of this Agreement and the other Transaction Documents and the consummation by the Investor of the Transactions have been duly authorized and approved by all necessary action on the part of the Investor, and no further action,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5" w:right="339" w:bottom="1440" w:gutter="0" w:footer="0" w:header="0"/>
        </w:sectPr>
      </w:pPr>
    </w:p>
    <w:bookmarkStart w:id="90" w:name="page91"/>
    <w:bookmarkEnd w:id="90"/>
    <w:p>
      <w:pPr>
        <w:jc w:val="both"/>
        <w:spacing w:after="0" w:line="222" w:lineRule="auto"/>
        <w:rPr>
          <w:sz w:val="20"/>
          <w:szCs w:val="20"/>
          <w:color w:val="auto"/>
        </w:rPr>
      </w:pPr>
      <w:r>
        <w:rPr>
          <w:rFonts w:ascii="Times New Roman" w:cs="Times New Roman" w:eastAsia="Times New Roman" w:hAnsi="Times New Roman"/>
          <w:sz w:val="21"/>
          <w:szCs w:val="21"/>
          <w:color w:val="auto"/>
        </w:rPr>
        <w:t>or authorization by any of its partners, is necessary to authorize the execution, delivery and performance by the Investor of this Agreement and the other Transaction Documents and the consummation by the Investor of the Transactions. This Agreement has been duly executed and delivered by the Investor and, assuming due authorization, execution and delivery hereof by the Company, constitutes a legal, valid and binding obligation of the Investor, enforceable against the Investor in accordance with its terms, except that such enforceability may be limited by the Bankruptcy and Equity Exception.</w:t>
      </w:r>
    </w:p>
    <w:p>
      <w:pPr>
        <w:spacing w:after="0" w:line="149" w:lineRule="exact"/>
        <w:rPr>
          <w:sz w:val="20"/>
          <w:szCs w:val="20"/>
          <w:color w:val="auto"/>
        </w:rPr>
      </w:pPr>
    </w:p>
    <w:p>
      <w:pPr>
        <w:jc w:val="both"/>
        <w:ind w:firstLine="1905"/>
        <w:spacing w:after="0" w:line="214" w:lineRule="auto"/>
        <w:tabs>
          <w:tab w:leader="none" w:pos="252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or the other Transaction Documents by the Investor, nor the consummation of the Transactions by the Investor, nor performance or compliance by the Investor with any of the terms or provisions hereof or thereof, will (i) conflict with or violate any provision of the certificate of incorporation, bylaws or other comparable organizational documents of the Investor, or (ii) assuming that the authorizations, consents and approvals referred to in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are obtained at or prior to the Closing Date (other than the authorizations, consents and approvals referred to in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which are to be obtained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and the filings referred to in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are made and any waiting periods with respect to such filings have terminated or expired at or prior to the Closing Date (other than the filings referred to in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which are to be made and any waiting periods thereunder are to terminate or expire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 violate any Law or Judgment applicable to the Investor or (y) violate or constitute a default (or constitute an event which, with notice or lapse of time or both, would violate or constitute a default) under any of the terms, conditions or provisions of any Contract to which the Investor is a party or accelerate the Investor’s obligations under any such Contract, except, in the case of clause (ii), as would not, individually or in the aggregate, reasonably be expected to have an Investor Material Adverse Effect.</w:t>
      </w:r>
    </w:p>
    <w:p>
      <w:pPr>
        <w:spacing w:after="0" w:line="15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1"/>
          <w:szCs w:val="21"/>
          <w:u w:val="single" w:color="auto"/>
          <w:color w:val="auto"/>
        </w:rPr>
        <w:t>Governmental Approvals</w:t>
      </w:r>
    </w:p>
    <w:p>
      <w:pPr>
        <w:spacing w:after="0" w:line="174" w:lineRule="exact"/>
        <w:rPr>
          <w:sz w:val="20"/>
          <w:szCs w:val="20"/>
          <w:color w:val="auto"/>
        </w:rPr>
      </w:pPr>
    </w:p>
    <w:p>
      <w:pPr>
        <w:ind w:left="1380" w:hanging="108"/>
        <w:spacing w:after="0"/>
        <w:tabs>
          <w:tab w:leader="none" w:pos="138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 the filing by the Company of the Certificate of Designations with the Delaware Secretary of State and</w:t>
      </w:r>
    </w:p>
    <w:p>
      <w:pPr>
        <w:jc w:val="both"/>
        <w:ind w:firstLine="6"/>
        <w:spacing w:after="0" w:line="215" w:lineRule="auto"/>
        <w:tabs>
          <w:tab w:leader="none" w:pos="30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filings required under, and compliance with other applicable requirements of, the HSR Act and any other applicable Regulatory Laws, based on the information provided to the Investor’s Representatives by the Company and its Representatives, no consent or approval of, or filing, license, permit or authorization, declaration or registration with, any Governmental Authority is necessary for the execution and delivery of this Agreement and the other Transaction Documents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50"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u w:val="single" w:color="auto"/>
          <w:color w:val="auto"/>
        </w:rPr>
        <w:t>Brokers and Other Advisors</w:t>
      </w:r>
      <w:r>
        <w:rPr>
          <w:rFonts w:ascii="Times New Roman" w:cs="Times New Roman" w:eastAsia="Times New Roman" w:hAnsi="Times New Roman"/>
          <w:sz w:val="21"/>
          <w:szCs w:val="21"/>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Investor, except for Persons, if any, whose fees and expenses will be paid by the Investor.</w:t>
      </w:r>
    </w:p>
    <w:p>
      <w:pPr>
        <w:spacing w:after="0" w:line="150" w:lineRule="exact"/>
        <w:rPr>
          <w:sz w:val="20"/>
          <w:szCs w:val="20"/>
          <w:color w:val="auto"/>
        </w:rPr>
      </w:pPr>
    </w:p>
    <w:p>
      <w:pPr>
        <w:jc w:val="both"/>
        <w:ind w:firstLine="1266"/>
        <w:spacing w:after="0"/>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Purchase for Investment</w:t>
      </w:r>
      <w:r>
        <w:rPr>
          <w:rFonts w:ascii="Times New Roman" w:cs="Times New Roman" w:eastAsia="Times New Roman" w:hAnsi="Times New Roman"/>
          <w:sz w:val="21"/>
          <w:szCs w:val="21"/>
          <w:color w:val="auto"/>
        </w:rPr>
        <w:t>. The Investor acknowledges that the offer and sale of the Acquired Shares and the Common Stock issuable upon the conversion of the Acquired Shares have not been registered under the Securities Act or under any state or other applicable securities laws. The Investor (a) acknowledges that it is acquiring the Acquired Shares and the Common Stock issuable upon the conversion of the Acquired Shares pursuant to an exemption from registration under the Securities Act solely for investment with no intention to distribute any of the foregoing to any Person, (b) will not sell, transfer, or otherwise dispose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5" w:right="339" w:bottom="1440" w:gutter="0" w:footer="0" w:header="0"/>
        </w:sectPr>
      </w:pPr>
    </w:p>
    <w:bookmarkStart w:id="91" w:name="page92"/>
    <w:bookmarkEnd w:id="91"/>
    <w:p>
      <w:pPr>
        <w:jc w:val="both"/>
        <w:spacing w:after="0" w:line="214" w:lineRule="auto"/>
        <w:rPr>
          <w:sz w:val="20"/>
          <w:szCs w:val="20"/>
          <w:color w:val="auto"/>
        </w:rPr>
      </w:pPr>
      <w:r>
        <w:rPr>
          <w:rFonts w:ascii="Times New Roman" w:cs="Times New Roman" w:eastAsia="Times New Roman" w:hAnsi="Times New Roman"/>
          <w:sz w:val="21"/>
          <w:szCs w:val="21"/>
          <w:color w:val="auto"/>
        </w:rPr>
        <w:t>any of the Acquired Shares or the Common Stock issuable upon the conversion of the Acquired Shares, except in compliance with this Agreement and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Acquired Shares and the Common Stock issuable upon the conversion of the Acquired Shares and of making an informed investment decision, (d) is an “accredited investor” (as that term is defined by Rule 501 of the Securities Act) and an “Institutional Account” (as that term is defined by FINRA Rule 4512(c)), and (e) (1) has reviewed the information that it considers necessary or appropriate to make an informed investment decision with respect to the Acquired Shares and the Common Stock issuable upon conversion of the Acquired Shares, (2) has had an opportunity to discuss with the Company and its Representatives the intended business and financial affairs of the Company and to obtain information necessary to verify the information furnished to it or to which it had access and (3) can bear the economic risk of (i) an investment in the Acquired Shares and the Common Stock issuable upon the conversion of the Acquired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Acquired Shares and the Common Stock issuable upon the conversion of the Acquired Shares.</w:t>
      </w:r>
    </w:p>
    <w:p>
      <w:pPr>
        <w:spacing w:after="0" w:line="151"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4.06 </w:t>
      </w:r>
      <w:r>
        <w:rPr>
          <w:rFonts w:ascii="Times New Roman" w:cs="Times New Roman" w:eastAsia="Times New Roman" w:hAnsi="Times New Roman"/>
          <w:sz w:val="21"/>
          <w:szCs w:val="21"/>
          <w:u w:val="single" w:color="auto"/>
          <w:color w:val="auto"/>
        </w:rPr>
        <w:t>Non-Reliance on Company Estimates, Projections, Forecasts, Forward-Looking Statements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Plans</w:t>
      </w:r>
      <w:r>
        <w:rPr>
          <w:rFonts w:ascii="Times New Roman" w:cs="Times New Roman" w:eastAsia="Times New Roman" w:hAnsi="Times New Roman"/>
          <w:sz w:val="21"/>
          <w:szCs w:val="21"/>
          <w:color w:val="auto"/>
        </w:rPr>
        <w:t xml:space="preserve">. In connection with the due diligence investigation of the Company by the Investor and its respective Representatives, the Investor and its respective Representatives have received and may continue to receive from the Company and its Representatives certain estimates, projections, forecasts and other forward-looking information, as well as certain business plan information, in each case containing forward-looking information, regarding the Company and its Subsidiaries and their respective businesses and operations. The Investor hereby acknowledges that there are uncertainties inherent in attempting to make such estimates, projections, forecasts and other forward-looking statements, as well as in such business plans to the extent each of them contain forward-looking information with which the Investor is familiar, that the Investor is making its own evaluation of the adequacy and accuracy of such forward-looking information so furnished to the Investor (including the reasonableness of the assumptions underlying such forward-looking information), and that except for the representations and warranties made by the Company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Transaction Documents and in any certificate or other document delivered in connection with this Agreement or the Transaction Documents, and other than for fraud, the Investor will have no claim against the Company or any of its Subsidiaries, or any of their respective Representatives, with respect thereto.</w:t>
      </w:r>
    </w:p>
    <w:p>
      <w:pPr>
        <w:spacing w:after="0" w:line="15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4.07 </w:t>
      </w:r>
      <w:r>
        <w:rPr>
          <w:rFonts w:ascii="Times New Roman" w:cs="Times New Roman" w:eastAsia="Times New Roman" w:hAnsi="Times New Roman"/>
          <w:sz w:val="21"/>
          <w:szCs w:val="21"/>
          <w:u w:val="single" w:color="auto"/>
          <w:color w:val="auto"/>
        </w:rPr>
        <w:t>Financial Advisor</w:t>
      </w:r>
      <w:r>
        <w:rPr>
          <w:rFonts w:ascii="Times New Roman" w:cs="Times New Roman" w:eastAsia="Times New Roman" w:hAnsi="Times New Roman"/>
          <w:sz w:val="21"/>
          <w:szCs w:val="21"/>
          <w:color w:val="auto"/>
        </w:rPr>
        <w:t>. Each of (a) J.P. Morgan, Qatalyst and Lazard is acting as a financial advisor to the Company and is not acting as an underwriter or in any other capacity and is not and shall not be construed as a fiduciary for the Investor, the Company or any other person or entity in connection with the Transactions, (b) J.P. Morgan, Qatalyst and Lazard has not made and will not make any representation or warranty, whether express or implied, of any kind or character and has not provided any advice or recommendation in connection with the Transactions, (c) J.P. Morgan, Qatalyst and Lazard will have no responsibility with respect to (i)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Company or the Transactions, and (d) J.P. Morgan, Qatalyst and Lazard shall have no liability or obligation (including without limitation, for or with respect to any losses, claims, damages, obligations, penalties, judgments, awards, liabilities, costs, expenses or disbursements incurred by the Investor, the Company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5" w:right="33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1"/>
          <w:szCs w:val="21"/>
          <w:color w:val="auto"/>
        </w:rPr>
        <w:t>person or entity), whether in contract, tort or otherwise, to the Investor, or to any person claiming through the Investor, in respect of the Transactions.</w:t>
      </w:r>
    </w:p>
    <w:p>
      <w:pPr>
        <w:spacing w:after="0" w:line="142"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4.08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Except for the representations and warranties made by the Investor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the Transaction Documents and in any certificate or other document delivered in connection with this Agreement or the Transaction Documents, neither the Investor nor any other Person acting on its behalf makes any other express or implied representation or warranty with respect to the Investor or any of its Affiliates or their respective businesses, operations, properties, assets, liabilities, condition (financial or otherwise) or prospects, notwithstanding the delivery or disclosure to the Company or its Representatives of any documentation, forecasts or other information with respect to any one or more of the foregoing, and the Company acknowledges the foregoing. In particular, and without limiting the generality of the foregoing, except for the representations and warranties made by the Investor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the Transaction Documents and in any certificate or other document delivered in connection with this Agreement or the Transaction Documents, neither the Investor nor any other Person makes or has made any express or implied representation or warranty to the Investor or its Representatives with respect to any oral or written information presented to the Company or its Representatives in the course of its due diligence investigation of the Company, the negotiation of this Agreement or the course of the Transactions or any other transactions or potential transactions involving the Company and the Investor.</w:t>
      </w:r>
    </w:p>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Additional Agreements</w:t>
      </w:r>
    </w:p>
    <w:p>
      <w:pPr>
        <w:spacing w:after="0" w:line="18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u w:val="single" w:color="auto"/>
          <w:color w:val="auto"/>
        </w:rPr>
        <w:t>Reasonable Best Efforts; Filings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5" w:lineRule="auto"/>
        <w:tabs>
          <w:tab w:leader="none" w:pos="25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set forth in the Certificate of Designations, the Acquired Shares shall be initially issued to the Investor without voting rights or conversion rights into Common Stock. After issuance and following the expiration or termination of the waiting period (and any extension thereof) under the HSR Act and any other applicable Regulatory Laws (collectively, the “</w:t>
      </w:r>
      <w:r>
        <w:rPr>
          <w:rFonts w:ascii="Times New Roman" w:cs="Times New Roman" w:eastAsia="Times New Roman" w:hAnsi="Times New Roman"/>
          <w:sz w:val="21"/>
          <w:szCs w:val="21"/>
          <w:u w:val="single" w:color="auto"/>
          <w:color w:val="auto"/>
        </w:rPr>
        <w:t>Required Regulatory Approvals</w:t>
      </w:r>
      <w:r>
        <w:rPr>
          <w:rFonts w:ascii="Times New Roman" w:cs="Times New Roman" w:eastAsia="Times New Roman" w:hAnsi="Times New Roman"/>
          <w:sz w:val="21"/>
          <w:szCs w:val="21"/>
          <w:color w:val="auto"/>
        </w:rPr>
        <w:t xml:space="preserve">”), the Acquired Shares shall gain the right to vote on an as-converted basis with the Common Stock and shall be convertible into Common Stock, in each case, pursuant to, and in accordance with, the terms of the Certificate of Designations. Subject to the terms and conditions of this Agreement, including the terms of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each of the Company and the Investor shall cooperate with each other and use (and shall cause its Subsidiaries to use) its reasonable best efforts (unless, with respect to any action, another standard of performance is expressly provided for herein) to obtain or submit, as the case may be, as promptly as practicable following the date hereof, all Required Regulatory Approvals. In furtherance of the foregoing, each of the parties hereto shall cooperate with each other to evaluate and identify any filings, consents, clearances or approvals required under or in connection with any Regulatory Law.</w:t>
      </w:r>
    </w:p>
    <w:p>
      <w:pPr>
        <w:spacing w:after="0" w:line="152" w:lineRule="exact"/>
        <w:rPr>
          <w:rFonts w:ascii="Times New Roman" w:cs="Times New Roman" w:eastAsia="Times New Roman" w:hAnsi="Times New Roman"/>
          <w:sz w:val="21"/>
          <w:szCs w:val="21"/>
          <w:color w:val="auto"/>
        </w:rPr>
      </w:pPr>
    </w:p>
    <w:p>
      <w:pPr>
        <w:jc w:val="both"/>
        <w:ind w:firstLine="1905"/>
        <w:spacing w:after="0" w:line="217" w:lineRule="auto"/>
        <w:tabs>
          <w:tab w:leader="none" w:pos="25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Investor agree to make any required filings pursuant to the HSR Act and any other Required Regulatory Approvals with respect to the Transactions as promptly as reasonably practicable following the date of this Agreement and, with respect to filings under (i) the HSR Act, no later than ten (10) Business Days after the date hereof and (ii) Italian Law Decree 21/2012 (as subsequently amended and supplemented), no later than 10 calendar days after the date hereof, and to supply as promptly as reasonably practicable any additional information and documentary material that may be requested pursuant to the HSR Act or any other Required Regulatory Approvals, as applicable, and to promptly take any and all steps necessary to avoid or eliminate each and every impediment and obtain all consents that may be required pursuant to the HSR Act or any other Required Regulatory Approvals, as applicable, so as to enable the parties hereto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5" w:right="339" w:bottom="1440" w:gutter="0" w:footer="0" w:header="0"/>
        </w:sectPr>
      </w:pPr>
    </w:p>
    <w:bookmarkStart w:id="93" w:name="page94"/>
    <w:bookmarkEnd w:id="93"/>
    <w:p>
      <w:pPr>
        <w:jc w:val="both"/>
        <w:ind w:firstLine="1905"/>
        <w:spacing w:after="0" w:line="213" w:lineRule="auto"/>
        <w:tabs>
          <w:tab w:leader="none" w:pos="252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the Investor shall use its reasonable best efforts to (i) cooperate in all respects with the other party in connection with any filing or submission with a Governmental Authority in connection with the Transactions and in connection with any investigation or other inquiry by or before a Governmental Authority relating to the Transactions, including any proceeding initiated by a private person, (ii) keep the other party informed in all material respects and on a reasonably timely basis of any material communication received by the Company or the Investor, as the case may be, from or given by the Company or the Investor, as the case may be, to the Federal Trade Commission (“</w:t>
      </w:r>
      <w:r>
        <w:rPr>
          <w:rFonts w:ascii="Times New Roman" w:cs="Times New Roman" w:eastAsia="Times New Roman" w:hAnsi="Times New Roman"/>
          <w:sz w:val="21"/>
          <w:szCs w:val="21"/>
          <w:u w:val="single" w:color="auto"/>
          <w:color w:val="auto"/>
        </w:rPr>
        <w:t>FTC</w:t>
      </w:r>
      <w:r>
        <w:rPr>
          <w:rFonts w:ascii="Times New Roman" w:cs="Times New Roman" w:eastAsia="Times New Roman" w:hAnsi="Times New Roman"/>
          <w:sz w:val="21"/>
          <w:szCs w:val="21"/>
          <w:color w:val="auto"/>
        </w:rPr>
        <w:t>”), the Department of Justice (“</w:t>
      </w:r>
      <w:r>
        <w:rPr>
          <w:rFonts w:ascii="Times New Roman" w:cs="Times New Roman" w:eastAsia="Times New Roman" w:hAnsi="Times New Roman"/>
          <w:sz w:val="21"/>
          <w:szCs w:val="21"/>
          <w:u w:val="single" w:color="auto"/>
          <w:color w:val="auto"/>
        </w:rPr>
        <w:t>DOJ</w:t>
      </w:r>
      <w:r>
        <w:rPr>
          <w:rFonts w:ascii="Times New Roman" w:cs="Times New Roman" w:eastAsia="Times New Roman" w:hAnsi="Times New Roman"/>
          <w:sz w:val="21"/>
          <w:szCs w:val="21"/>
          <w:color w:val="auto"/>
        </w:rPr>
        <w:t xml:space="preserve">”) or any other Governmental Authority and of any material communication received or given in connection with any proceeding by a private Person, in each case regarding the Transactions, (iii) subject to applicable Laws relating to the exchange of information, and to the extent reasonably practicable, consult with the other party with respect to information relating to such party and its respective Subsidiaries, as the case may be, that appears in any filing made with, or written materials submitted to, any third Person or any Governmental Authority in connection with the Transactions, and (iv) to the extent permitted by the FTC, the DOJ or such other applicable Governmental Authority or other Person, give the other party the opportunity to attend and participate in such meetings and conferences. Any documents or other materials provided pursuant to this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xml:space="preserve"> may be redacted or withheld as necessary to address reasonable privilege or confidentiality concerns, and to remove references concerning the valuation of the Company or other competitively sensitive material, and the parties may, as each deems advisable, reasonably designate any material provided under this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xml:space="preserve"> as “outside counsel only material”.</w:t>
      </w:r>
    </w:p>
    <w:p>
      <w:pPr>
        <w:spacing w:after="0" w:line="158"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nothing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or elsewhere in this Agreement shall require the Investor to take any action with respect to any of its controlled Affiliates or its direct or indirect portfolio companies, including selling, divesting, conveying, holding separate, or otherwise limiting its freedom of action with respect to any assets, rights, products, licenses, businesses, operations, or interest therein, of any such Affiliates or any direct or indirect portfolio companies of investment funds advised or managed by one or more Affiliates of the Investor. The parties agree that all obligations of other parties related to regulatory approvals shall be governed exclusively by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Corporate Actions</w:t>
      </w:r>
      <w:r>
        <w:rPr>
          <w:rFonts w:ascii="Times New Roman" w:cs="Times New Roman" w:eastAsia="Times New Roman" w:hAnsi="Times New Roman"/>
          <w:sz w:val="21"/>
          <w:szCs w:val="21"/>
          <w:color w:val="auto"/>
        </w:rPr>
        <w:t>. At any time that any Preferred Stock is outstanding, the Company shall (i) from time to time take all lawful action within its control to cause the authorized capital stock of the Company to include a sufficient number of authorized but unissued shares of Common Stock to satisfy the conversion requirements of all shares of the Preferred Stock then outstanding, and (ii) not effect any voluntary deregistration under the Exchange Act or any voluntary delisting with the NASDAQ (or any other national securities exchange upon which the Common Stock may subsequently be listed) in respect of the Common Stock other than in connection with a Fundamental Change (other than a delisting pursuant to the definition thereof) pursuant to which the Company satisfies in full its obligations under the Certificate of Designations.</w:t>
      </w:r>
    </w:p>
    <w:p>
      <w:pPr>
        <w:spacing w:after="0" w:line="153"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Public Disclosure</w:t>
      </w:r>
      <w:r>
        <w:rPr>
          <w:rFonts w:ascii="Times New Roman" w:cs="Times New Roman" w:eastAsia="Times New Roman" w:hAnsi="Times New Roman"/>
          <w:sz w:val="21"/>
          <w:szCs w:val="21"/>
          <w:color w:val="auto"/>
        </w:rPr>
        <w:t>. The Investor and the Company shall consult with each other before issuing, and give each other the opportunity to review and comment upon, any press release or other public statements with respect to the Transaction Documents or the Transactions, and shall not issue any such press release or make any such public statement prior to such consultation, except as may be required by applicable Law, Judgment, court process or the rules and regulations of any national securities exchange or national securities quotation system. The Investor and the Company agree that the initial press release to be issued with respect to the Transactions following execution of this Agreement shall be in a form agreed to by the parties hereto (the “</w:t>
      </w:r>
      <w:r>
        <w:rPr>
          <w:rFonts w:ascii="Times New Roman" w:cs="Times New Roman" w:eastAsia="Times New Roman" w:hAnsi="Times New Roman"/>
          <w:sz w:val="21"/>
          <w:szCs w:val="21"/>
          <w:u w:val="single" w:color="auto"/>
          <w:color w:val="auto"/>
        </w:rPr>
        <w:t>Announcement</w:t>
      </w:r>
      <w:r>
        <w:rPr>
          <w:rFonts w:ascii="Times New Roman" w:cs="Times New Roman" w:eastAsia="Times New Roman" w:hAnsi="Times New Roman"/>
          <w:sz w:val="21"/>
          <w:szCs w:val="21"/>
          <w:color w:val="auto"/>
        </w:rPr>
        <w:t xml:space="preserve">”). Notwithstanding the forgoing,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shall not apply to any press release or other public statement made by the Company or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94" w:name="page95"/>
    <w:bookmarkEnd w:id="94"/>
    <w:p>
      <w:pPr>
        <w:jc w:val="both"/>
        <w:ind w:firstLine="6"/>
        <w:spacing w:after="0" w:line="217" w:lineRule="auto"/>
        <w:tabs>
          <w:tab w:leader="none" w:pos="29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which is consistent with the Announcement and does not contain any information relating to the Transactions that has not been previously announced or made public in accordance with the terms of this Agreement or (b) is made in the ordinary course of business and does not relate specifically to the signing of the Transaction Documents or the Transactions. Notwithstanding the foregoing, (i)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shall not prohibit any disclosure of information concerning this Agreement in connection with any dispute between the parties hereto regarding this Agreement and (ii) the Investor Parties may, without consulting the Company, provide ordinary course communications regarding this Agreement and the transactions contemplated hereby in connection with financial reporting and fundraising activities to existing or prospective general and limited partners, equity holders, members, managers and investors of any Affiliates of such Person, which in each case are subject to customary confidentiality obligations.</w:t>
      </w:r>
    </w:p>
    <w:p>
      <w:pPr>
        <w:spacing w:after="0" w:line="152"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Investor’s confidentiality obligations under the Confidentiality Agreement shall survive the Closing Date and the confidential information thereunder (including oral, written and electronic information) shall include information concerning the Company, its Subsidiaries or its Affiliates that has been, or may be, furnished to the Investor, its Affiliates or their respective Representatives by or on behalf of the Company or any of its Representatives pursuant to, or in connection with, this Agreement and/or the Transactions and Transaction Documents.</w:t>
      </w:r>
    </w:p>
    <w:p>
      <w:pPr>
        <w:spacing w:after="0" w:line="149"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Standstill</w:t>
      </w:r>
      <w:r>
        <w:rPr>
          <w:rFonts w:ascii="Times New Roman" w:cs="Times New Roman" w:eastAsia="Times New Roman" w:hAnsi="Times New Roman"/>
          <w:sz w:val="21"/>
          <w:szCs w:val="21"/>
          <w:color w:val="auto"/>
        </w:rPr>
        <w:t>. The Investor agrees that during the Standstill Period, without the prior written approval of the Board, the Investor will not, directly or indirectly, and will cause its Affiliates not to:</w:t>
      </w:r>
    </w:p>
    <w:p>
      <w:pPr>
        <w:spacing w:after="0" w:line="142" w:lineRule="exact"/>
        <w:rPr>
          <w:sz w:val="20"/>
          <w:szCs w:val="20"/>
          <w:color w:val="auto"/>
        </w:rPr>
      </w:pPr>
    </w:p>
    <w:p>
      <w:pPr>
        <w:jc w:val="both"/>
        <w:ind w:firstLine="1905"/>
        <w:spacing w:after="0" w:line="216" w:lineRule="auto"/>
        <w:tabs>
          <w:tab w:leader="none" w:pos="25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acquire, offer or seek to acquire, agree to acquire or make a public proposal to acquire, by purchase or otherwise, beneficial ownership of any Company Securities, any securities convertible into or exchangeable for any such equity securities, any options or other derivative securities or contracts or instruments in any way related to the price of such Company Securities (but in any case other than (i) as a result of any stock split, stock dividend or distribution, subdivision, reorganization, reclassification or similar capital transaction involving Company Securities, (ii) the acquisition of shares of Common Stock issuable upon conversion of the Preferred Stock, (iii) pursuant to or in connection with (A) an acquisition of Company Securities from another Investor Party or one of its Affiliates or (B) a Permitted Loan, and (iv) as a result of the acquisition by any Investor Director of any Company Securities pursuant to (x) the grant or vesting of any equity compensation awards granted by the Company to any Investor Director, or (y) the exercise of any stock options, restricted stock units, or similar awards relating to any Company Securities granted by the Company to any Investor Director;</w:t>
      </w:r>
    </w:p>
    <w:p>
      <w:pPr>
        <w:spacing w:after="0" w:line="147"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make or in any way participate in or knowingly encourage any “solicitation” of “proxies” (whether or not relating to the election or removal of directors), as such terms are used in the rules of the SEC, to vote, or knowingly seek to advise or influence any Person with respect to voting of, any voting securities of the Company or call or seek to call a meeting of the Company’s stockholders or initiate any stockholder proposal or action by the Company’s stockholders, or seek election to or to place a representative on the Board (other than pursuant to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or seek the removal of any director from the Board;</w:t>
      </w:r>
    </w:p>
    <w:p>
      <w:pPr>
        <w:spacing w:after="0" w:line="149"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 offer, seek or indicate an interest in (in each case, with or without conditions) any merger or business combination, tender or exchange offer, recapitalization, reorganization or purchase of a material portion of the assets, properties or securities of the Company or any Subsidiary, or any other extraordinary transaction involving the Company or any Subsidiary or any of their respective securities, or enter into any discussions, negotiations, arrangements, understandings or agreements whether written or oral) with any other Person (other than its Representatives) regarding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5" w:right="339" w:bottom="1440" w:gutter="0" w:footer="0" w:header="0"/>
        </w:sectPr>
      </w:pPr>
    </w:p>
    <w:bookmarkStart w:id="95" w:name="page96"/>
    <w:bookmarkEnd w:id="95"/>
    <w:p>
      <w:pPr>
        <w:jc w:val="both"/>
        <w:ind w:firstLine="1905"/>
        <w:spacing w:after="0" w:line="231" w:lineRule="auto"/>
        <w:tabs>
          <w:tab w:leader="none" w:pos="25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act, alone or in concert with others, to seek to control or influence, in any manner, the management, Board or policies of the Company or any Subsidiary (for the avoidance of doubt, excluding any such act in their capacity as a commercial counterparty, customer, supplier or the like);</w:t>
      </w:r>
    </w:p>
    <w:p>
      <w:pPr>
        <w:spacing w:after="0" w:line="146" w:lineRule="exact"/>
        <w:rPr>
          <w:rFonts w:ascii="Times New Roman" w:cs="Times New Roman" w:eastAsia="Times New Roman" w:hAnsi="Times New Roman"/>
          <w:sz w:val="21"/>
          <w:szCs w:val="21"/>
          <w:color w:val="auto"/>
        </w:rPr>
      </w:pPr>
    </w:p>
    <w:p>
      <w:pPr>
        <w:ind w:firstLine="1905"/>
        <w:spacing w:after="0" w:line="244" w:lineRule="auto"/>
        <w:tabs>
          <w:tab w:leader="none" w:pos="252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public proposal or statement of inquiry or publicly disclose any intention, plan or arrangement consistent with the foregoing;</w:t>
      </w:r>
    </w:p>
    <w:p>
      <w:pPr>
        <w:spacing w:after="0" w:line="142"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advise or knowingly assist or encourage or direct any Person to do any of the foregoing;</w:t>
      </w:r>
    </w:p>
    <w:p>
      <w:pPr>
        <w:spacing w:after="0" w:line="180"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discussions, negotiations, arrangements or understandings with any third party (including security holders of the Company, but excluding, for the avoidance of doubt, any Investor Parties) with respect to any of the foregoing, including forming, joining or in any way participating in a “group” (as defined in Section 13(d)(3) of the Exchange Act) with any third party with respect to any of the foregoing</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request the Company or any of its Representatives to amend or waive any provision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shall not prohibit the Investor Parties from making a confidential request to the Company seeking an amendment or waiver of the provisions of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which the Company may accept or reject in its sole discretion, so long as any such request is made in a manner that does not require public disclosure thereof by the Company; or</w:t>
      </w:r>
    </w:p>
    <w:p>
      <w:pPr>
        <w:spacing w:after="0" w:line="149" w:lineRule="exact"/>
        <w:rPr>
          <w:rFonts w:ascii="Times New Roman" w:cs="Times New Roman" w:eastAsia="Times New Roman" w:hAnsi="Times New Roman"/>
          <w:sz w:val="21"/>
          <w:szCs w:val="21"/>
          <w:color w:val="auto"/>
        </w:rPr>
      </w:pPr>
    </w:p>
    <w:p>
      <w:pPr>
        <w:ind w:firstLine="1905"/>
        <w:spacing w:after="0" w:line="244" w:lineRule="auto"/>
        <w:tabs>
          <w:tab w:leader="none" w:pos="25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contest the validity of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or make, initiate, take or participate in any Action to amend, waive or terminate any provision of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will limit (1) the Investor Parties’ ability to vote, Transfer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5.06</w:t>
      </w:r>
      <w:r>
        <w:rPr>
          <w:rFonts w:ascii="Times New Roman" w:cs="Times New Roman" w:eastAsia="Times New Roman" w:hAnsi="Times New Roman"/>
          <w:sz w:val="21"/>
          <w:szCs w:val="21"/>
          <w:color w:val="auto"/>
        </w:rPr>
        <w:t xml:space="preserve">), convert (subject to Article VIII of the Certificate of Designations), purchase Proposed Securities (subject to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or otherwise exercise rights under, its Common Stock or Preferred Stock, or (2) the ability of any Investor Director to vote or otherwise exercise its fiduciary duties or otherwise act in its capacity as a member of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notwithstanding anything to the contrary in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the Investor and its Affiliates may at any time communicate privately with the Company’s directors, officers or advisors or submit to the Board one or more confidential proposals or offers for a transaction (including a transaction that, if consummated, would result in a Fundamental Change), so long as, in each case, such communications and submissions are not intended to, and would not reasonably be expected to, require any public disclosure by the Company of such communications or submissions, as applicable.</w:t>
      </w:r>
    </w:p>
    <w:p>
      <w:pPr>
        <w:spacing w:after="0" w:line="15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5.06</w:t>
      </w:r>
      <w:r>
        <w:rPr>
          <w:sz w:val="20"/>
          <w:szCs w:val="20"/>
          <w:color w:val="auto"/>
        </w:rPr>
        <w:tab/>
      </w: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2540" w:hanging="635"/>
        <w:spacing w:after="0"/>
        <w:tabs>
          <w:tab w:leader="none" w:pos="25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the thirty six (36)-month anniversary of the Closing Date, the Investor Parties will not Transfer:</w:t>
      </w:r>
    </w:p>
    <w:p>
      <w:pPr>
        <w:spacing w:after="0" w:line="180" w:lineRule="exact"/>
        <w:rPr>
          <w:rFonts w:ascii="Times New Roman" w:cs="Times New Roman" w:eastAsia="Times New Roman" w:hAnsi="Times New Roman"/>
          <w:sz w:val="21"/>
          <w:szCs w:val="21"/>
          <w:color w:val="auto"/>
        </w:rPr>
      </w:pPr>
    </w:p>
    <w:p>
      <w:pPr>
        <w:jc w:val="both"/>
        <w:ind w:firstLine="2538"/>
        <w:spacing w:after="0" w:line="220" w:lineRule="auto"/>
        <w:tabs>
          <w:tab w:leader="none" w:pos="315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Preferred Stock (or any Common Stock issued upon conversion of any Preferred Stock) to a Person who is known to be a Restricted Person (after reasonable inquiry);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their Preferred Stock (or any Common Stock issued upon conversion of any Preferred Stock) to a Restricted Person in connection with a merger, tender offer or exchange offer or other business combination, acquisition of assets or similar transaction or any Fundamental Change involving the Company or any of its Subsidiaries that, in each case, is approved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65" w:right="339" w:bottom="1440" w:gutter="0" w:footer="0" w:header="0"/>
        </w:sectPr>
      </w:pPr>
    </w:p>
    <w:bookmarkStart w:id="96" w:name="page97"/>
    <w:bookmarkEnd w:id="96"/>
    <w:p>
      <w:pPr>
        <w:jc w:val="both"/>
        <w:ind w:firstLine="2538"/>
        <w:spacing w:after="0"/>
        <w:tabs>
          <w:tab w:leader="none" w:pos="315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Common Stock issued upon conversion of any Preferred Stock to a Person or “group” (as defined in Section 13(d)(3) of the Exchange Act) that the Investor Parties know that, after giving effect to a proposed Transfer, would beneficially own greater than five percent (5%) of the then outstanding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any Common Stock issued upon conversion of any Preferred Stock to a Person or group in connection with a merger, tender offer or exchange offer or other business combination, acquisition of assets or similar transaction or any Fundamental Change involving the Company or any of its Subsidiaries that, in each case, is approved by the Board; or</w:t>
      </w:r>
    </w:p>
    <w:p>
      <w:pPr>
        <w:spacing w:after="0" w:line="239" w:lineRule="exact"/>
        <w:rPr>
          <w:rFonts w:ascii="Times New Roman" w:cs="Times New Roman" w:eastAsia="Times New Roman" w:hAnsi="Times New Roman"/>
          <w:sz w:val="21"/>
          <w:szCs w:val="21"/>
          <w:color w:val="auto"/>
        </w:rPr>
      </w:pPr>
    </w:p>
    <w:p>
      <w:pPr>
        <w:jc w:val="both"/>
        <w:ind w:firstLine="2538"/>
        <w:spacing w:after="0" w:line="220" w:lineRule="auto"/>
        <w:tabs>
          <w:tab w:leader="none" w:pos="316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Preferred Stock to a Person or “group” (as defined in Section 13(d)(3) of the Exchange Act) that the Investor Parties know, at the time of the proposed Transfer, beneficially own at least three percent (3%) of the then outstanding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any Preferred Stock to a Person or group in connection with a merger, tender offer or exchange offer or other business combination, acquisition of assets or similar transaction or any Fundamental Change involving the Company or any of its Subsidiaries that, in each case, is approved by the Board;</w:t>
      </w:r>
    </w:p>
    <w:p>
      <w:pPr>
        <w:spacing w:after="0" w:line="1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forgoing restrictions will not apply to any Transfer undertaken (x) in any underwritten offering (including an underwritten block trade) or (y) in broker transactions effected pursuant to Rule 144 of the Securities Act.</w:t>
      </w:r>
    </w:p>
    <w:p>
      <w:pPr>
        <w:spacing w:after="0" w:line="142" w:lineRule="exact"/>
        <w:rPr>
          <w:sz w:val="20"/>
          <w:szCs w:val="20"/>
          <w:color w:val="auto"/>
        </w:rPr>
      </w:pPr>
    </w:p>
    <w:p>
      <w:pPr>
        <w:jc w:val="both"/>
        <w:ind w:firstLine="1905"/>
        <w:spacing w:after="0" w:line="214" w:lineRule="auto"/>
        <w:tabs>
          <w:tab w:leader="none" w:pos="252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the later of (i) the date that is six (6) months after the Closing Date and (ii) ninety (90) days following the date on which no Investor Director is serving on the Board (and as of such time the Investor no longer has rights pursuant to this Agreement to designate an Investor Director Designee or otherwise has irrevocably waived in a writing delivered to the Company its rights under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to nominate an Investor Director Designee), the Investor Parties will not make any “short sale” (as defined in Rule 200 of Regulation SHO under the Exchange Act) of, grant any option for the purchase of, or enter into any hedging or similar transaction with the same economic effect as a “short sale” (as defined in Rule 200 of Regulation SHO under the Exchange Act) of or the purpose of which is to offset the loss which results from a decline in the market price of, any Preferred Stock (or any Common Stock issued upon conversion of any Preferred Stock), or otherwise establish or increase, directly or indirectly, a put equivalent position, as defined in Rule 16a-1(h) under the Exchange Act (collectively, “</w:t>
      </w:r>
      <w:r>
        <w:rPr>
          <w:rFonts w:ascii="Times New Roman" w:cs="Times New Roman" w:eastAsia="Times New Roman" w:hAnsi="Times New Roman"/>
          <w:sz w:val="21"/>
          <w:szCs w:val="21"/>
          <w:u w:val="single" w:color="auto"/>
          <w:color w:val="auto"/>
        </w:rPr>
        <w:t>Hedging Arrangements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the foregoing restrictions are applicable, if the Company enters into a definitive agreement with respect to a Subsequent Transaction (a “</w:t>
      </w:r>
      <w:r>
        <w:rPr>
          <w:rFonts w:ascii="Times New Roman" w:cs="Times New Roman" w:eastAsia="Times New Roman" w:hAnsi="Times New Roman"/>
          <w:sz w:val="21"/>
          <w:szCs w:val="21"/>
          <w:u w:val="single" w:color="auto"/>
          <w:color w:val="auto"/>
        </w:rPr>
        <w:t>Subsequent Transaction Announcement</w:t>
      </w:r>
      <w:r>
        <w:rPr>
          <w:rFonts w:ascii="Times New Roman" w:cs="Times New Roman" w:eastAsia="Times New Roman" w:hAnsi="Times New Roman"/>
          <w:sz w:val="21"/>
          <w:szCs w:val="21"/>
          <w:color w:val="auto"/>
        </w:rPr>
        <w:t>”) on or prior to the date that is twelve (12) months after the Closing Date, then following the date that is nine (9) months after the Subsequent Transaction Announcement, the Investor Parties will be permitted to enter into Hedging Arrangements other than “short sales” (as defined in Rule 200 of Regulation SHO under the Exchange Act).</w:t>
      </w:r>
    </w:p>
    <w:p>
      <w:pPr>
        <w:spacing w:after="0" w:line="150"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 agrees that, from the date that the Investor Director is appointed to the Board until the date on which the Investor Director ceases to be a member of the Board, except as otherwise set forth in this Agreement, the Investor shall comply with the Company’s trading policies and guidelines applicable to all directors of the Company.</w:t>
      </w:r>
    </w:p>
    <w:p>
      <w:pPr>
        <w:spacing w:after="0" w:line="146"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restrictions set forth in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terminate automatically upon the commencement by the Company or one of its significant Subsidiaries (as such term is defined in Rule 12b-2 under the Exchange Act) of bankruptcy, insolvency or other similar proceedings.</w:t>
      </w:r>
    </w:p>
    <w:p>
      <w:pPr>
        <w:spacing w:after="0" w:line="146" w:lineRule="exact"/>
        <w:rPr>
          <w:rFonts w:ascii="Times New Roman" w:cs="Times New Roman" w:eastAsia="Times New Roman" w:hAnsi="Times New Roman"/>
          <w:sz w:val="21"/>
          <w:szCs w:val="21"/>
          <w:color w:val="auto"/>
        </w:rPr>
      </w:pPr>
    </w:p>
    <w:p>
      <w:pPr>
        <w:ind w:firstLine="1905"/>
        <w:spacing w:after="0" w:line="244" w:lineRule="auto"/>
        <w:tabs>
          <w:tab w:leader="none" w:pos="25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(including any of the Company’s policies), at any time from and after the Closing Date, (i) the Investor Parties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65" w:right="339" w:bottom="1440" w:gutter="0" w:footer="0" w:header="0"/>
        </w:sectPr>
      </w:pPr>
    </w:p>
    <w:bookmarkStart w:id="97" w:name="page98"/>
    <w:bookmarkEnd w:id="97"/>
    <w:p>
      <w:pPr>
        <w:jc w:val="both"/>
        <w:spacing w:after="0" w:line="213" w:lineRule="auto"/>
        <w:rPr>
          <w:sz w:val="20"/>
          <w:szCs w:val="20"/>
          <w:color w:val="auto"/>
        </w:rPr>
      </w:pPr>
      <w:r>
        <w:rPr>
          <w:rFonts w:ascii="Times New Roman" w:cs="Times New Roman" w:eastAsia="Times New Roman" w:hAnsi="Times New Roman"/>
          <w:sz w:val="21"/>
          <w:szCs w:val="21"/>
          <w:color w:val="auto"/>
        </w:rPr>
        <w:t>permitted to Transfer any or all of its Preferred Stock (or any Common Stock issued upon conversion of any Preferred Stock) in connection with a total return swap or a bona fide loan or other financing arrangement, including pledging, hypothecating or otherwise granting a security interest in shares of Preferred Stock and/or shares of Common Stock issued upon conversion of shares of Preferred Stock to one or more lending institutions as collateral or security for any bona fide loan, advance or extension of credit and any Transfer upon foreclosure (or in lieu of foreclosure) upon such shares of Preferred Stock or Common Stock (a “</w:t>
      </w:r>
      <w:r>
        <w:rPr>
          <w:rFonts w:ascii="Times New Roman" w:cs="Times New Roman" w:eastAsia="Times New Roman" w:hAnsi="Times New Roman"/>
          <w:sz w:val="21"/>
          <w:szCs w:val="21"/>
          <w:u w:val="single" w:color="auto"/>
          <w:color w:val="auto"/>
        </w:rPr>
        <w:t>Permitted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and (ii) nothing shall prohibit or otherwise restrict the ability of any lender or other creditor or collateral agent under a Permitted Loan (including any agent or trustee on their behalf) or any Affiliate of the foregoing to foreclose upon, or accept a Transfer in lieu of foreclosure, and sell, dispose of or otherwise Transfer the applicable Preferred Stock or Common Stock mortgaged, hypothecated and/or pledged to secure the obligations of the borrower following an event of default (any of the foregoing, collectively, a “</w:t>
      </w:r>
      <w:r>
        <w:rPr>
          <w:rFonts w:ascii="Times New Roman" w:cs="Times New Roman" w:eastAsia="Times New Roman" w:hAnsi="Times New Roman"/>
          <w:sz w:val="21"/>
          <w:szCs w:val="21"/>
          <w:u w:val="single" w:color="auto"/>
          <w:color w:val="auto"/>
        </w:rPr>
        <w:t>Foreclosure</w:t>
      </w:r>
      <w:r>
        <w:rPr>
          <w:rFonts w:ascii="Times New Roman" w:cs="Times New Roman" w:eastAsia="Times New Roman" w:hAnsi="Times New Roman"/>
          <w:sz w:val="21"/>
          <w:szCs w:val="21"/>
          <w:color w:val="auto"/>
        </w:rPr>
        <w:t xml:space="preserve">”) under a Permitted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if undertaken in a registered offering or an offering exempt from registration under Rule 144 or Rule 144A of the Securities Act, such lender or other creditor or collateral agent under a Permitted Loan or any Affiliate of the foregoing shall not sell, dispose of or otherwise Transfer such Preferred Stock or Common Stock to a Restricted Person without the Company’s prior written consent;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event that any lender or other creditor or collateral agent under a Permitted Loan transaction (including any agent or trustee on their behalf) or any Affiliate of the foregoing exercises any rights or remedies in respect of the applicable Preferred Stock or Common Stock or any other collateral for any Permitted Loan, no lender, creditor, agent or trustee on their behalf or Affiliate of any of the foregoing (other than, for the avoidance of doubt, the Investor Parties) shall be entitled to any rights or have any obligations or be subject to any restrictions or limitations set forth in this Agreement</w:t>
      </w:r>
    </w:p>
    <w:p>
      <w:pPr>
        <w:spacing w:after="0" w:line="150" w:lineRule="exact"/>
        <w:rPr>
          <w:sz w:val="20"/>
          <w:szCs w:val="20"/>
          <w:color w:val="auto"/>
        </w:rPr>
      </w:pPr>
    </w:p>
    <w:p>
      <w:pPr>
        <w:ind w:left="2540" w:hanging="635"/>
        <w:spacing w:after="0"/>
        <w:tabs>
          <w:tab w:leader="none" w:pos="25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attempted Transfer in violation of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be null and void </w:t>
      </w:r>
      <w:r>
        <w:rPr>
          <w:rFonts w:ascii="Times New Roman" w:cs="Times New Roman" w:eastAsia="Times New Roman" w:hAnsi="Times New Roman"/>
          <w:sz w:val="21"/>
          <w:szCs w:val="21"/>
          <w:i w:val="1"/>
          <w:iCs w:val="1"/>
          <w:color w:val="auto"/>
        </w:rPr>
        <w:t>ab initio.</w:t>
      </w:r>
    </w:p>
    <w:p>
      <w:pPr>
        <w:spacing w:after="0" w:line="182"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such Transfer is not violation of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he Company shall cooperate with the Investor Parties in connection with the Transfer of any Preferred Stock (or any Common Stock issued upon conversion of any Preferred Stock), including providing reasonable and customary information (i) in connection with the relevant Investor Party’s marketing efforts or any such potential transferee’s due diligence or (ii) in order to comply with applicable securities Laws.</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Legend</w:t>
      </w:r>
      <w:r>
        <w:rPr>
          <w:rFonts w:ascii="Times New Roman" w:cs="Times New Roman" w:eastAsia="Times New Roman" w:hAnsi="Times New Roman"/>
          <w:sz w:val="21"/>
          <w:szCs w:val="21"/>
          <w:color w:val="auto"/>
        </w:rPr>
        <w:t>. (a) All certificates or other instruments representing the Preferred Stock or Common Stock issued upon conversion of the Preferred Stock will bear a legend substantially to the following effect:</w:t>
      </w:r>
    </w:p>
    <w:p>
      <w:pPr>
        <w:spacing w:after="0" w:line="142"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THE SECURITIES REPRESENTED BY THIS INSTRUMENT HAVE NOT BEEN REGISTERED UNDER THE SECURITIES ACT OF 1933, AS AMENDED, OR THE SECURITIES LAWS OF ANY STATE AND MAY NOT BE TRANSFERRED, SOLD OR OTHERWISE DISPOSED OF EXCEPT PURSUANT TO AN EXEMPTION FROM REGISTRATION UNDER SUCH ACT OR SUCH LAWS, OR EXCEPT, WITH RESPECT TO ANY COMMON STOCK, WHILE A REGISTRATION STATEMENT RELATING THERETO IS IN EFFECT UNDER SUCH ACT AND APPLICABLE STATE SECURITIES LAWS.</w:t>
      </w:r>
    </w:p>
    <w:p>
      <w:pPr>
        <w:spacing w:after="0" w:line="149"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THE SECURITIES REPRESENTED BY THIS CERTIFICATE ARE SUBJECT TO TRANSFER AND OTHER RESTRICTIONS SET FORTH IN AN INVESTMENT AGREEMENT, DATED AS OF JANUARY 31, 2023, COPIES OF WHICH ARE ON FILE WITH THE SECRETARY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65" w:right="339" w:bottom="1440" w:gutter="0" w:footer="0" w:header="0"/>
        </w:sectPr>
      </w:pPr>
    </w:p>
    <w:bookmarkStart w:id="98" w:name="page99"/>
    <w:bookmarkEnd w:id="98"/>
    <w:p>
      <w:pPr>
        <w:jc w:val="both"/>
        <w:ind w:firstLine="1905"/>
        <w:spacing w:after="0" w:line="220" w:lineRule="auto"/>
        <w:tabs>
          <w:tab w:leader="none" w:pos="25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of the applicable Investor Party, upon receipt by the Company of an opinion of counsel reasonably satisfactory to the Company to the effect that such legend is no longer required under the Securities Act and applicable state securities laws, the Company shall promptly cause the first paragraph of the legend to be removed from any certificate for any Preferred Stock or Common Stock to be Transferred in accordance with the terms of this Agreement and the second paragraph of the legend shall be removed upon the expiration of such transfer and other restrictions set forth in this Agreement (and, for the avoidance of doubt, immediately prior to any termination of this Agreement).</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5.08</w:t>
      </w:r>
      <w:r>
        <w:rPr>
          <w:sz w:val="20"/>
          <w:szCs w:val="20"/>
          <w:color w:val="auto"/>
        </w:rPr>
        <w:tab/>
      </w:r>
      <w:r>
        <w:rPr>
          <w:rFonts w:ascii="Times New Roman" w:cs="Times New Roman" w:eastAsia="Times New Roman" w:hAnsi="Times New Roman"/>
          <w:sz w:val="21"/>
          <w:szCs w:val="21"/>
          <w:u w:val="single" w:color="auto"/>
          <w:color w:val="auto"/>
        </w:rPr>
        <w:t>Board Matters; Election of Directors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2540" w:hanging="635"/>
        <w:spacing w:after="0"/>
        <w:tabs>
          <w:tab w:leader="none" w:pos="254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Closing, the Company and the Board will increase the size of the Board to nine</w:t>
      </w:r>
    </w:p>
    <w:p>
      <w:pPr>
        <w:jc w:val="both"/>
        <w:ind w:firstLine="6"/>
        <w:spacing w:after="0" w:line="213" w:lineRule="auto"/>
        <w:tabs>
          <w:tab w:leader="none" w:pos="30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members (unless there is a vacancy in the Board at such time) and, subject to </w:t>
      </w:r>
      <w:r>
        <w:rPr>
          <w:rFonts w:ascii="Times New Roman" w:cs="Times New Roman" w:eastAsia="Times New Roman" w:hAnsi="Times New Roman"/>
          <w:sz w:val="21"/>
          <w:szCs w:val="21"/>
          <w:u w:val="single" w:color="auto"/>
          <w:color w:val="auto"/>
        </w:rPr>
        <w:t>Section 5.08(b)</w:t>
      </w:r>
      <w:r>
        <w:rPr>
          <w:rFonts w:ascii="Times New Roman" w:cs="Times New Roman" w:eastAsia="Times New Roman" w:hAnsi="Times New Roman"/>
          <w:sz w:val="21"/>
          <w:szCs w:val="21"/>
          <w:color w:val="auto"/>
        </w:rPr>
        <w:t>, the Board shall elect a designated representative of the Investor Parties who shall be Reed Rayman (such individual, the “</w:t>
      </w:r>
      <w:r>
        <w:rPr>
          <w:rFonts w:ascii="Times New Roman" w:cs="Times New Roman" w:eastAsia="Times New Roman" w:hAnsi="Times New Roman"/>
          <w:sz w:val="21"/>
          <w:szCs w:val="21"/>
          <w:u w:val="single" w:color="auto"/>
          <w:color w:val="auto"/>
        </w:rPr>
        <w:t>Investor Director Designee</w:t>
      </w:r>
      <w:r>
        <w:rPr>
          <w:rFonts w:ascii="Times New Roman" w:cs="Times New Roman" w:eastAsia="Times New Roman" w:hAnsi="Times New Roman"/>
          <w:sz w:val="21"/>
          <w:szCs w:val="21"/>
          <w:color w:val="auto"/>
        </w:rPr>
        <w:t xml:space="preserve">”) to the Board to serve for a term expiring at the next annual meeting of the Company’s stockholders and until his successor is duly elected and qualified. Following the Closing, the Investor shall not be required to comply with the advance notice provisions generally applicable to the nomination of directors by the Company so long as the Investor provides reasonable advance notice to the Company of the Investor Director Designee prior to the mailing of the proxy statement by the Company (provided, that the Company shall provide reasonable advance notice to the Investor of the expected mailing date). For the avoidance of doubt, failure of the stockholders of the Company to elect any Investor Director Designee to the Board shall not affect the right of the Investor to nominate a director for election pursuant to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in any future election of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Investor shall nominate a different person as the Investor Director Designee. Prior to the Fall-Away of Board Rights and subject to </w:t>
      </w:r>
      <w:r>
        <w:rPr>
          <w:rFonts w:ascii="Times New Roman" w:cs="Times New Roman" w:eastAsia="Times New Roman" w:hAnsi="Times New Roman"/>
          <w:sz w:val="21"/>
          <w:szCs w:val="21"/>
          <w:u w:val="single" w:color="auto"/>
          <w:color w:val="auto"/>
        </w:rPr>
        <w:t>Section 5.08(b)</w:t>
      </w:r>
      <w:r>
        <w:rPr>
          <w:rFonts w:ascii="Times New Roman" w:cs="Times New Roman" w:eastAsia="Times New Roman" w:hAnsi="Times New Roman"/>
          <w:sz w:val="21"/>
          <w:szCs w:val="21"/>
          <w:color w:val="auto"/>
        </w:rPr>
        <w:t>, the Investor Director serve as a member of such committees of the Board as determined by the Governance Committee of the Board after good faith consultation with the Investor Director Designee.</w:t>
      </w:r>
    </w:p>
    <w:p>
      <w:pPr>
        <w:spacing w:after="0" w:line="147" w:lineRule="exact"/>
        <w:rPr>
          <w:rFonts w:ascii="Times New Roman" w:cs="Times New Roman" w:eastAsia="Times New Roman" w:hAnsi="Times New Roman"/>
          <w:sz w:val="21"/>
          <w:szCs w:val="21"/>
          <w:color w:val="auto"/>
        </w:rPr>
      </w:pPr>
    </w:p>
    <w:p>
      <w:pPr>
        <w:ind w:right="20" w:firstLine="1905"/>
        <w:spacing w:after="0" w:line="244" w:lineRule="auto"/>
        <w:tabs>
          <w:tab w:leader="none" w:pos="25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Investor Director Designee shall, at the time of his or her nomination or appointment as a Director and at all times thereafter until such individual ceases to serve as an Investor Director:</w:t>
      </w:r>
    </w:p>
    <w:p>
      <w:pPr>
        <w:spacing w:after="0" w:line="142" w:lineRule="exact"/>
        <w:rPr>
          <w:rFonts w:ascii="Times New Roman" w:cs="Times New Roman" w:eastAsia="Times New Roman" w:hAnsi="Times New Roman"/>
          <w:sz w:val="21"/>
          <w:szCs w:val="21"/>
          <w:color w:val="auto"/>
        </w:rPr>
      </w:pPr>
    </w:p>
    <w:p>
      <w:pPr>
        <w:jc w:val="both"/>
        <w:ind w:firstLine="2538"/>
        <w:spacing w:after="0" w:line="231" w:lineRule="auto"/>
        <w:tabs>
          <w:tab w:leader="none" w:pos="3153"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meet and comply with any and all policies, procedures, processes, codes, rules, standards and guidelines of the Company applicable to all non-employee Board members, including the Company’s code of business conduct and ethics, securities trading policies and corporate governance guidelines;</w:t>
      </w:r>
    </w:p>
    <w:p>
      <w:pPr>
        <w:spacing w:after="0" w:line="146" w:lineRule="exact"/>
        <w:rPr>
          <w:rFonts w:ascii="Times New Roman" w:cs="Times New Roman" w:eastAsia="Times New Roman" w:hAnsi="Times New Roman"/>
          <w:sz w:val="21"/>
          <w:szCs w:val="21"/>
          <w:color w:val="auto"/>
        </w:rPr>
      </w:pPr>
    </w:p>
    <w:p>
      <w:pPr>
        <w:ind w:firstLine="2538"/>
        <w:spacing w:after="0" w:line="244" w:lineRule="auto"/>
        <w:tabs>
          <w:tab w:leader="none" w:pos="3159"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applicable, meet and comply with any requirements under applicable Law or stock exchange listing rules for membership on the applicable Committee;</w:t>
      </w:r>
    </w:p>
    <w:p>
      <w:pPr>
        <w:spacing w:after="0" w:line="142" w:lineRule="exact"/>
        <w:rPr>
          <w:rFonts w:ascii="Times New Roman" w:cs="Times New Roman" w:eastAsia="Times New Roman" w:hAnsi="Times New Roman"/>
          <w:sz w:val="21"/>
          <w:szCs w:val="21"/>
          <w:color w:val="auto"/>
        </w:rPr>
      </w:pPr>
    </w:p>
    <w:p>
      <w:pPr>
        <w:ind w:firstLine="2538"/>
        <w:spacing w:after="0" w:line="244" w:lineRule="auto"/>
        <w:tabs>
          <w:tab w:leader="none" w:pos="3165"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 subject to any order, decree or judgment of any Governmental Authority prohibiting service as a director of any public company;</w:t>
      </w:r>
    </w:p>
    <w:p>
      <w:pPr>
        <w:spacing w:after="0" w:line="142" w:lineRule="exact"/>
        <w:rPr>
          <w:rFonts w:ascii="Times New Roman" w:cs="Times New Roman" w:eastAsia="Times New Roman" w:hAnsi="Times New Roman"/>
          <w:sz w:val="21"/>
          <w:szCs w:val="21"/>
          <w:color w:val="auto"/>
        </w:rPr>
      </w:pPr>
    </w:p>
    <w:p>
      <w:pPr>
        <w:ind w:firstLine="2538"/>
        <w:spacing w:after="0" w:line="244" w:lineRule="auto"/>
        <w:tabs>
          <w:tab w:leader="none" w:pos="3153"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 an employee, officer, or director of, or consultant to, or be receiving any compensation or benefits from, any Competitor (unless otherwise agreed to by the Governance Committee of the Board); and</w:t>
      </w:r>
    </w:p>
    <w:p>
      <w:pPr>
        <w:spacing w:after="0" w:line="142" w:lineRule="exact"/>
        <w:rPr>
          <w:rFonts w:ascii="Times New Roman" w:cs="Times New Roman" w:eastAsia="Times New Roman" w:hAnsi="Times New Roman"/>
          <w:sz w:val="21"/>
          <w:szCs w:val="21"/>
          <w:color w:val="auto"/>
        </w:rPr>
      </w:pPr>
    </w:p>
    <w:p>
      <w:pPr>
        <w:jc w:val="both"/>
        <w:ind w:firstLine="2538"/>
        <w:spacing w:after="0" w:line="231" w:lineRule="auto"/>
        <w:tabs>
          <w:tab w:leader="none" w:pos="3161" w:val="left"/>
        </w:tabs>
        <w:numPr>
          <w:ilvl w:val="2"/>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such attendance would reasonably be expected to present an actual or likely conflict of interest for the Investor Director in the good faith opinion of the Board or the applicable committee thereof, waive notice of and recuse himself or herself from any meetings, deliberations or discussion of the Board or any committee thereof,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65" w:right="339" w:bottom="1440" w:gutter="0" w:footer="0" w:header="0"/>
        </w:sectPr>
      </w:pPr>
    </w:p>
    <w:bookmarkStart w:id="99" w:name="page100"/>
    <w:bookmarkEnd w:id="99"/>
    <w:p>
      <w:pPr>
        <w:spacing w:after="0" w:line="244" w:lineRule="auto"/>
        <w:rPr>
          <w:sz w:val="20"/>
          <w:szCs w:val="20"/>
          <w:color w:val="auto"/>
        </w:rPr>
      </w:pPr>
      <w:r>
        <w:rPr>
          <w:rFonts w:ascii="Times New Roman" w:cs="Times New Roman" w:eastAsia="Times New Roman" w:hAnsi="Times New Roman"/>
          <w:sz w:val="21"/>
          <w:szCs w:val="21"/>
          <w:color w:val="auto"/>
        </w:rPr>
        <w:t>applicable, regarding any Transaction Document, the Transactions (other than a Spin-Off or Subsequent Transaction) or any other transactions involving the Investor Parties.</w:t>
      </w:r>
    </w:p>
    <w:p>
      <w:pPr>
        <w:spacing w:after="0" w:line="142" w:lineRule="exact"/>
        <w:rPr>
          <w:sz w:val="20"/>
          <w:szCs w:val="20"/>
          <w:color w:val="auto"/>
        </w:rPr>
      </w:pPr>
    </w:p>
    <w:p>
      <w:pPr>
        <w:jc w:val="both"/>
        <w:ind w:firstLine="1905"/>
        <w:spacing w:after="0" w:line="225" w:lineRule="auto"/>
        <w:tabs>
          <w:tab w:leader="none" w:pos="252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the Fall-Away of Board Rights, at the written request of the Board, the Investor Director shall resign, and the Investor shall cause the Investor Director promptly to resign, from the Board and each Committee effective as of the date of the Fall-Away of Board Rights, and the Investor shall no longer have any designation and nomination rights under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905"/>
        <w:spacing w:after="0" w:line="216" w:lineRule="auto"/>
        <w:tabs>
          <w:tab w:leader="none" w:pos="252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Investor exercises its designation rights in accordance with the provisions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the Company and the Board shall (i) include the Investor Director Designee designated by the Investor in accordance with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in the Company’s slate of nominees (whether in the Company’s proxy statement or otherwise) for the applicable meeting of the Company’s stockholders or action by written consent at which directors are to be elected, and use its reasonable best efforts to cause the election of the Investor Director Designee to the Board, (ii) recommend that the Company’s stockholders vote in favor of such Investor Director Designee, (iii) support such nominee with the same level of efforts and support as is used and/or provided for the other director nominees of the Company with respect to the applicable meeting of stockholders or action by written consent, and (iv) cause the Board to have sufficient vacancies to permit such Investor Director Designee to be elected as a member of the Board.</w:t>
      </w:r>
    </w:p>
    <w:p>
      <w:pPr>
        <w:spacing w:after="0" w:line="154"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 shall have the right to remove, whether with or without cause, any Investor Director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Investor shall provide at least five (5) Business Days’ notice of any such removal, which notice shall include the reason for removal and any other information required to be disclosed pursuant to Item 5.02 of Form 8-K and for so long as the Investor Parties are entitled to designate an Investor Director Designee in accordance with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the Board shall not remove any Investor Director from his or her directorship (except as required by Law, the Certificate of Designations or the Company Charter Documents).</w:t>
      </w:r>
    </w:p>
    <w:p>
      <w:pPr>
        <w:spacing w:after="0" w:line="149" w:lineRule="exact"/>
        <w:rPr>
          <w:rFonts w:ascii="Times New Roman" w:cs="Times New Roman" w:eastAsia="Times New Roman" w:hAnsi="Times New Roman"/>
          <w:sz w:val="21"/>
          <w:szCs w:val="21"/>
          <w:color w:val="auto"/>
        </w:rPr>
      </w:pPr>
    </w:p>
    <w:p>
      <w:pPr>
        <w:jc w:val="both"/>
        <w:ind w:firstLine="1905"/>
        <w:spacing w:after="0" w:line="218" w:lineRule="auto"/>
        <w:tabs>
          <w:tab w:leader="none" w:pos="253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 vacancy is created at any time by the death, resignation, removal, disqualification or other cause of an Investor Director, including the failure of an Investor Director Designee to be elected at a meeting of stockholders of the Company, the Investor shall have the right to designate a replacement to fill such vacancy (but only if the Investor would be then entitled to nominate such designee pursuant to the provisions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The Board and the Company shall, to the fullest extent permitted by applicable Law and stock exchange listing rules, take all actions necessary at any time and from time to time to cause the vacancy created thereby to be filled by the individual so designated and to cause the Board to elect such designee to the Board as soon as possible.</w:t>
      </w:r>
    </w:p>
    <w:p>
      <w:pPr>
        <w:spacing w:after="0" w:line="152" w:lineRule="exact"/>
        <w:rPr>
          <w:rFonts w:ascii="Times New Roman" w:cs="Times New Roman" w:eastAsia="Times New Roman" w:hAnsi="Times New Roman"/>
          <w:sz w:val="21"/>
          <w:szCs w:val="21"/>
          <w:color w:val="auto"/>
        </w:rPr>
      </w:pPr>
    </w:p>
    <w:p>
      <w:pPr>
        <w:jc w:val="both"/>
        <w:ind w:firstLine="1905"/>
        <w:spacing w:after="0" w:line="216" w:lineRule="auto"/>
        <w:tabs>
          <w:tab w:leader="none" w:pos="252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with respect the appointment of the initial Investor Director Designee at the Closing, the Company’s obligations to have any Investor Director Designee elected to the Board or nominate any Investor Director Designee for election as a director at any meeting of the Company’s stockholders pursuant to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as applicable, shall in each case be subject to such Investor Director Designee’s satisfaction of all applicable requirements regarding service as a director of the Company under applicable Law and stock exchange listing rules regarding service as a director of the Company and all other criteria and qualifications for service as a director applicable to all directors of the Company. The Investor Parties will cause each Investor Director Designee to make himself or herself reasonably available for interviews by the applicable committee of the Board on the same basis as any other new or returning, as applicable, candidate for appointment or election to the Board, and to consent to such reference and background checks or other investigations as the Board may reasonably request on the same basis as any other new or returning, as applicable, candidate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65" w:right="339" w:bottom="1440" w:gutter="0" w:footer="0" w:header="0"/>
        </w:sectPr>
      </w:pPr>
    </w:p>
    <w:bookmarkStart w:id="100" w:name="page101"/>
    <w:bookmarkEnd w:id="100"/>
    <w:p>
      <w:pPr>
        <w:jc w:val="both"/>
        <w:spacing w:after="0" w:line="213" w:lineRule="auto"/>
        <w:rPr>
          <w:sz w:val="20"/>
          <w:szCs w:val="20"/>
          <w:color w:val="auto"/>
        </w:rPr>
      </w:pPr>
      <w:r>
        <w:rPr>
          <w:rFonts w:ascii="Times New Roman" w:cs="Times New Roman" w:eastAsia="Times New Roman" w:hAnsi="Times New Roman"/>
          <w:sz w:val="21"/>
          <w:szCs w:val="21"/>
          <w:color w:val="auto"/>
        </w:rPr>
        <w:t>appointment or election to the Board to determine the Investor Director Designee’s eligibility and qualification to serve as a director of the Company. No Investor Director Designee shall be eligible to serve on the Board if he or she has been involved in any of the events enumerated under Item 2(d) of Schedule 13D under the Exchange Act or Item 401(f) of Regulation S-K under the Securities Act. Other than with respect the appointment of the initial Investor Director Designee at the Closing, as a condition to any Investor Director Designee’s election to the Board or nomination for election as a director of the Company at any meeting of the Company’s stockholders, the Investor Parties and the Investor Director Designee must provide to the Company: (x) all information reasonably requested by the Company that is required to be or is customarily disclosed for all new or returning, as applicable, candidates for appointment or election to the Board and their respective Affiliates in a proxy statement or other filings required by applicable Law, any stock exchange listing rules or listing standards or the Company Charter Documents or corporate governance guidelines, in each case, (1) to the extent relating to the Investor Director Designee’s election as a director of the Company or the Company’s operations in the ordinary course of business and (2) to the same extent requested or required of other candidates for appointment or election to the Board and (y) all information reasonably requested by the Company in connection with assessing eligibility and other criteria applicable to all new or returning, as applicable, candidates for appointment or election to the Board or satisfying compliance and legal or regulatory obligations, in each case, (1) to the extent relating to the Investor Director Designee’s nomination or election, as applicable, as a director of the Company or the Company’s operations in the ordinary course of business and (2) to the same extent requested or required of other candidates for appointment or election to the Board.</w:t>
      </w:r>
    </w:p>
    <w:p>
      <w:pPr>
        <w:spacing w:after="0" w:line="158" w:lineRule="exact"/>
        <w:rPr>
          <w:sz w:val="20"/>
          <w:szCs w:val="20"/>
          <w:color w:val="auto"/>
        </w:rPr>
      </w:pPr>
    </w:p>
    <w:p>
      <w:pPr>
        <w:jc w:val="both"/>
        <w:ind w:firstLine="1905"/>
        <w:spacing w:after="0" w:line="213" w:lineRule="auto"/>
        <w:tabs>
          <w:tab w:leader="none" w:pos="252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so long as the 25% Beneficial Holding Requirement is satisfied by the Investor Parties, at any time after the Closing that there is no Investor Director serving on the Board, the Investor Parties shall be entitled to appoint one Person strictly as an observer to the Board (the “</w:t>
      </w:r>
      <w:r>
        <w:rPr>
          <w:rFonts w:ascii="Times New Roman" w:cs="Times New Roman" w:eastAsia="Times New Roman" w:hAnsi="Times New Roman"/>
          <w:sz w:val="21"/>
          <w:szCs w:val="21"/>
          <w:u w:val="single" w:color="auto"/>
          <w:color w:val="auto"/>
        </w:rPr>
        <w:t>Board Observer</w:t>
      </w:r>
      <w:r>
        <w:rPr>
          <w:rFonts w:ascii="Times New Roman" w:cs="Times New Roman" w:eastAsia="Times New Roman" w:hAnsi="Times New Roman"/>
          <w:sz w:val="21"/>
          <w:szCs w:val="21"/>
          <w:color w:val="auto"/>
        </w:rPr>
        <w:t xml:space="preserve">”). The Board Observer shall be entitled to attend and be notified of all meetings of the Board and any committees thereof in a non-voting capacity, and to receive copies of all notices, minutes, consents and other materials provided to the non-management members of the Board or such committees;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reserves the right to withhold any information and/or materials and to exclude the Board Observer from access to any such material or meeting or portion thereof if the Board reasonably determines in good faith and upon the advice of counsel, that such exclusion is reasonably necessary to (x) preserve the attorney client or like privilege between the Company (or the Board or such committee, as applicable, and its counsel), (y) comply with applicable Law or stock exchange listing rules or (z) comply with the terms of any confidentiality agreement or other contract with a Third Party. The Board Observer shall not have voting rights or fiduciary obligations to the Company or its stockholders, or be entitled to receive any compensation or reimbursement of expenses in his or her capacity as Board Observer, but shall be bound by the same confidentiality obligations as the members of the Board. Any action taken by the Board or committee thereof at any meeting will not be invalidated by the absence of the Board Observer at such meeting. To the extent such attendance would reasonably be expected to present an actual or likely conflict of interest for the Board Observer in the good faith opinion of the Board or the applicable committee thereof, the Board Observer shall agree to waive notice of and recuse himself or herself from any meetings, deliberations or discussion of the Board or any committee thereof, as applicable, regarding any Transaction Document, the Transactions (other than a Spin-Off or Subsequent Transaction) or any other transactions involving the Investor Parties.</w:t>
      </w:r>
    </w:p>
    <w:p>
      <w:pPr>
        <w:spacing w:after="0" w:line="151"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at all times provide each Investor Director (in his or her capacity as a member of the Board) with the same rights to indemnification and exculpation that it provides to other members of the Board. In addition, in his or her capacity as a member of the Board or any applicable Committee on which he or she formally serves as a member, such Investor Director shall be entitled to receive, unless waived by the Investor Director, (i) any and all applicable director and Committee fees and compensation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65" w:right="339" w:bottom="1440" w:gutter="0" w:footer="0" w:header="0"/>
        </w:sectPr>
      </w:pPr>
    </w:p>
    <w:bookmarkStart w:id="101" w:name="page102"/>
    <w:bookmarkEnd w:id="101"/>
    <w:p>
      <w:pPr>
        <w:jc w:val="both"/>
        <w:spacing w:after="0" w:line="231" w:lineRule="auto"/>
        <w:rPr>
          <w:sz w:val="20"/>
          <w:szCs w:val="20"/>
          <w:color w:val="auto"/>
        </w:rPr>
      </w:pPr>
      <w:r>
        <w:rPr>
          <w:rFonts w:ascii="Times New Roman" w:cs="Times New Roman" w:eastAsia="Times New Roman" w:hAnsi="Times New Roman"/>
          <w:sz w:val="21"/>
          <w:szCs w:val="21"/>
          <w:color w:val="auto"/>
        </w:rPr>
        <w:t>payable to the Company’s non-management directors as part of the Company’s director compensation plan, and (ii) reimbursement of all reasonable, documented out-of-pocket expenses that he or she incurs in connection with performing Board and any applicable Committee duties consistent with the Company’s expense reimbursement policy applicable to non-management directors.</w:t>
      </w:r>
    </w:p>
    <w:p>
      <w:pPr>
        <w:spacing w:after="0" w:line="147" w:lineRule="exact"/>
        <w:rPr>
          <w:sz w:val="20"/>
          <w:szCs w:val="20"/>
          <w:color w:val="auto"/>
        </w:rPr>
      </w:pPr>
    </w:p>
    <w:p>
      <w:pPr>
        <w:jc w:val="both"/>
        <w:ind w:firstLine="1905"/>
        <w:spacing w:after="0" w:line="213" w:lineRule="auto"/>
        <w:tabs>
          <w:tab w:leader="none" w:pos="25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maintain directors’ and officers’ liability insurance as determined by the Board. The Company acknowledges and agrees that any Investor Director who are partners, members, employees, or consultants of Apollo and/or any of its Affiliates (each, an “</w:t>
      </w:r>
      <w:r>
        <w:rPr>
          <w:rFonts w:ascii="Times New Roman" w:cs="Times New Roman" w:eastAsia="Times New Roman" w:hAnsi="Times New Roman"/>
          <w:sz w:val="21"/>
          <w:szCs w:val="21"/>
          <w:u w:val="single" w:color="auto"/>
          <w:color w:val="auto"/>
        </w:rPr>
        <w:t>Apollo Entity</w:t>
      </w:r>
      <w:r>
        <w:rPr>
          <w:rFonts w:ascii="Times New Roman" w:cs="Times New Roman" w:eastAsia="Times New Roman" w:hAnsi="Times New Roman"/>
          <w:sz w:val="21"/>
          <w:szCs w:val="21"/>
          <w:color w:val="auto"/>
        </w:rPr>
        <w:t>”) may have certain rights to indemnification, advancement of expenses and/or insurance provided by the applicable Apollo Entity (collectively, the “</w:t>
      </w:r>
      <w:r>
        <w:rPr>
          <w:rFonts w:ascii="Times New Roman" w:cs="Times New Roman" w:eastAsia="Times New Roman" w:hAnsi="Times New Roman"/>
          <w:sz w:val="21"/>
          <w:szCs w:val="21"/>
          <w:u w:val="single" w:color="auto"/>
          <w:color w:val="auto"/>
        </w:rPr>
        <w:t>Apollo Indemnitors</w:t>
      </w:r>
      <w:r>
        <w:rPr>
          <w:rFonts w:ascii="Times New Roman" w:cs="Times New Roman" w:eastAsia="Times New Roman" w:hAnsi="Times New Roman"/>
          <w:sz w:val="21"/>
          <w:szCs w:val="21"/>
          <w:color w:val="auto"/>
        </w:rPr>
        <w:t>”). The Company acknowledges and agrees that the Company shall be the indemnitor of first resort with respect to any indemnification, advancement of expenses and/or insurance provided in the certificate of incorporation, bylaws or any other organizational documents (collectively, the “</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of the Company and/or any of its Subsidiaries and/or any indemnification agreements to any Investor Director in his or her capacity as a director of the Company or any of its Subsidiaries (such that the Company’s obligations to such indemnitees in their capacities as directors are primary and any obligation of the Apollo Indemnitors to advance expenses or to provide indemnification or insurance for the same expenses or liabilities incurred by such indemnitees are secondary). Such indemnitees shall, in their capacities as directors, be entitled to all the rights to indemnification, advancement of expenses and entitled to insurance to the extent provided under (i) Organizational Documents of the Company and/or any of its Subsidiaries in effect from time to time and/or (ii) such other agreement, if any, between the Company and/or any of its Subsidiaries, on the one hand, and such indemnitees, on the other hand, without regards to any rights such indemnitees may have against the Apollo Indemnitors. No advancement or payment by the Apollo Indemnitors on behalf of such indemnitees with respect to any claim for which such indemnitees have sought indemnification, advancement of expenses or insurance from the Company in their capacities as directors shall affect the foregoing and the Apollo Indemnitors shall have a right of contribution and/or be subrogated to the extent of such advancement or payment to all of the rights of recovery of such indemnitees against the Company and/or its applicable Subsidiaries.</w:t>
      </w:r>
    </w:p>
    <w:p>
      <w:pPr>
        <w:spacing w:after="0" w:line="148" w:lineRule="exact"/>
        <w:rPr>
          <w:rFonts w:ascii="Times New Roman" w:cs="Times New Roman" w:eastAsia="Times New Roman" w:hAnsi="Times New Roman"/>
          <w:sz w:val="21"/>
          <w:szCs w:val="21"/>
          <w:color w:val="auto"/>
        </w:rPr>
      </w:pPr>
    </w:p>
    <w:p>
      <w:pPr>
        <w:jc w:val="both"/>
        <w:ind w:firstLine="1905"/>
        <w:spacing w:after="0" w:line="213" w:lineRule="auto"/>
        <w:tabs>
          <w:tab w:leader="none" w:pos="252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recognition and anticipation that (i) certain directors, principals, officers, employees, members, partners and/or other representatives of the Investor, any Investor Party or Apollo Entity, or of investment funds or vehicles affiliated with an Apollo Entity or any of its respective Affiliates may be an Investor Director Designee and, accordingly, serve as Directors, and (ii) each of Apollo or investment funds or vehicles affiliated with Apollo may now engage, may continue to engage, and/or may, in the future, decide to engage, in the same or similar activities or related lines of business as those in which the Company or any of its Subsidiaries, directly or indirectly, now engage or may engage and/or other business activities that overlap with, are complementary to or compete with those in which the Company or any of its Subsidiaries, directly or indirectly, now engage or may engage, the provisions of this </w:t>
      </w:r>
      <w:r>
        <w:rPr>
          <w:rFonts w:ascii="Times New Roman" w:cs="Times New Roman" w:eastAsia="Times New Roman" w:hAnsi="Times New Roman"/>
          <w:sz w:val="21"/>
          <w:szCs w:val="21"/>
          <w:u w:val="single" w:color="auto"/>
          <w:color w:val="auto"/>
        </w:rPr>
        <w:t>Section 5.08(k)</w:t>
      </w:r>
      <w:r>
        <w:rPr>
          <w:rFonts w:ascii="Times New Roman" w:cs="Times New Roman" w:eastAsia="Times New Roman" w:hAnsi="Times New Roman"/>
          <w:sz w:val="21"/>
          <w:szCs w:val="21"/>
          <w:color w:val="auto"/>
        </w:rPr>
        <w:t xml:space="preserve"> are set forth to regulate and define the conduct of certain affairs of the Company and its Subsidiaries with respect to certain classes or categories of business opportunities as they may involve any Investor Party or its Affiliates and the powers, rights, duties and liabilities of the Company, its Subsidiaries, and their respective directors, officers and stockholders in connection therewith. To the fullest extent permitted by applicable Law, the Company, on behalf of itself and each of its Subsidiaries, hereby renounces any interest or expectancy in, or right to be offered an opportunity to participate in, any business opportunity which may be a corporate (or analogous) or business opportunity for any Investor Party, any of its Affiliates, or any Investor Director Designees or Investor Director (collectively, “</w:t>
      </w:r>
      <w:r>
        <w:rPr>
          <w:rFonts w:ascii="Times New Roman" w:cs="Times New Roman" w:eastAsia="Times New Roman" w:hAnsi="Times New Roman"/>
          <w:sz w:val="21"/>
          <w:szCs w:val="21"/>
          <w:u w:val="single" w:color="auto"/>
          <w:color w:val="auto"/>
        </w:rPr>
        <w:t>Identified Persons</w:t>
      </w:r>
      <w:r>
        <w:rPr>
          <w:rFonts w:ascii="Times New Roman" w:cs="Times New Roman" w:eastAsia="Times New Roman" w:hAnsi="Times New Roman"/>
          <w:sz w:val="21"/>
          <w:szCs w:val="21"/>
          <w:color w:val="auto"/>
        </w:rPr>
        <w:t>” and, individually, an “</w:t>
      </w:r>
      <w:r>
        <w:rPr>
          <w:rFonts w:ascii="Times New Roman" w:cs="Times New Roman" w:eastAsia="Times New Roman" w:hAnsi="Times New Roman"/>
          <w:sz w:val="21"/>
          <w:szCs w:val="21"/>
          <w:u w:val="single" w:color="auto"/>
          <w:color w:val="auto"/>
        </w:rPr>
        <w:t>Identified Person</w:t>
      </w:r>
      <w:r>
        <w:rPr>
          <w:rFonts w:ascii="Times New Roman" w:cs="Times New Roman" w:eastAsia="Times New Roman" w:hAnsi="Times New Roman"/>
          <w:sz w:val="21"/>
          <w:szCs w:val="21"/>
          <w:color w:val="auto"/>
        </w:rPr>
        <w:t>”) and the Company or any of its Affiliates. To the fullest extent permitted by applicable Law, in the event that any Identified Person acquires knowledge of a potential transaction or other corporate (or analogous) or business opportunity which may be a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65" w:right="339" w:bottom="1440" w:gutter="0" w:footer="0" w:header="0"/>
        </w:sectPr>
      </w:pPr>
    </w:p>
    <w:bookmarkStart w:id="102" w:name="page103"/>
    <w:bookmarkEnd w:id="102"/>
    <w:p>
      <w:pPr>
        <w:jc w:val="both"/>
        <w:spacing w:after="0" w:line="212" w:lineRule="auto"/>
        <w:rPr>
          <w:sz w:val="20"/>
          <w:szCs w:val="20"/>
          <w:color w:val="auto"/>
        </w:rPr>
      </w:pPr>
      <w:r>
        <w:rPr>
          <w:rFonts w:ascii="Times New Roman" w:cs="Times New Roman" w:eastAsia="Times New Roman" w:hAnsi="Times New Roman"/>
          <w:sz w:val="21"/>
          <w:szCs w:val="21"/>
          <w:color w:val="auto"/>
        </w:rPr>
        <w:t>(or analogous) or business opportunity for itself, herself or himself and the Company or any of its Affiliates, such Identified Person shall have no duty to communicate, offer or otherwise make available such transaction or other corporate (or analogous) or business opportunity to the Company or any of its Affiliates and shall not be liable to the Company or its stockholders or to any Affiliate of the Company for breach of any purported fiduciary duty solely by reason of the fact that such Identified Person pursues or acquires such corporate (or analogous) or business opportunity for itself, herself or himself, or offers or directs such corporate (or analogous) or business opportunity to another Person (including any Affiliate of such Identified Person). The Company, on behalf of itself and each of its Subsidiaries, (x) acknowledges that the Identified Persons may now own, may continue to own, and from time to time may acquire and own, investments in one or more other entities (each such entity, a “</w:t>
      </w:r>
      <w:r>
        <w:rPr>
          <w:rFonts w:ascii="Times New Roman" w:cs="Times New Roman" w:eastAsia="Times New Roman" w:hAnsi="Times New Roman"/>
          <w:sz w:val="21"/>
          <w:szCs w:val="21"/>
          <w:u w:val="single" w:color="auto"/>
          <w:color w:val="auto"/>
        </w:rPr>
        <w:t>Related Company</w:t>
      </w:r>
      <w:r>
        <w:rPr>
          <w:rFonts w:ascii="Times New Roman" w:cs="Times New Roman" w:eastAsia="Times New Roman" w:hAnsi="Times New Roman"/>
          <w:sz w:val="21"/>
          <w:szCs w:val="21"/>
          <w:color w:val="auto"/>
        </w:rPr>
        <w:t>” and all such entities, collectively, “</w:t>
      </w:r>
      <w:r>
        <w:rPr>
          <w:rFonts w:ascii="Times New Roman" w:cs="Times New Roman" w:eastAsia="Times New Roman" w:hAnsi="Times New Roman"/>
          <w:sz w:val="21"/>
          <w:szCs w:val="21"/>
          <w:u w:val="single" w:color="auto"/>
          <w:color w:val="auto"/>
        </w:rPr>
        <w:t>Related Companies</w:t>
      </w:r>
      <w:r>
        <w:rPr>
          <w:rFonts w:ascii="Times New Roman" w:cs="Times New Roman" w:eastAsia="Times New Roman" w:hAnsi="Times New Roman"/>
          <w:sz w:val="21"/>
          <w:szCs w:val="21"/>
          <w:color w:val="auto"/>
        </w:rPr>
        <w:t>”) that are direct competitors of, or that otherwise may have interests that do or could conflict with those of, the Company, any of its Subsidiaries, any of the Company’s stockholders or any of their respective Affiliates, and (y) agree that (A) the enjoyment, exercise and enforcement of the rights, interests, privileges, powers and benefits granted or available to the Identified Persons under this Agreement shall not be in any manner reduced, diminished, affected or impaired, and the obligations of the Identified Persons under this Agreement (if any) shall not be in any manner augmented or increased, by reason of any act, circumstance, occurrence or event arising from or in any respect relating to (1) the ownership by an Identified Person of any interest in any Related Company, (2) the affiliation of any Related Company with an Identified Person or (3) any action taken or omitted by any Related Company or an Identified Person in respect of any Related Company, (B) no Identified Person who is not an Investor Director shall, by reason of such ownership, affiliation or action, become subject to any fiduciary duty to the Company, any of its Subsidiaries, any of the Company’s stockholders or any of their respective Affiliates, (C) none of the duties imposed on an Identified Person who is not an Investor Director, whether by contract or law, do or shall limit or impair the right of any Identified Person lawfully to compete with the Company, any of its Subsidiaries, any of the Company’s stockholders or any of their respective Affiliates as if the Identified Persons were not a party to this Agreement, and (D) to the fullest extent permitted by Delaware Law, the Identified Persons are not and shall not be obligated to disclose to the Company, any of its Subsidiaries, any of the Company’s stockholders or any of their respective Affiliates any information related to their respective businesses or opportunities, including acquisition opportunities, or to refrain from or in any respect to be restricted in competing against the Company, any of its Subsidiaries, any of the Company’s stockholders or any of their respective Affiliates in any such business or as to any such opportunities.</w:t>
      </w:r>
    </w:p>
    <w:p>
      <w:pPr>
        <w:spacing w:after="0" w:line="152"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5.09</w:t>
      </w:r>
      <w:r>
        <w:rPr>
          <w:sz w:val="20"/>
          <w:szCs w:val="20"/>
          <w:color w:val="auto"/>
        </w:rPr>
        <w:tab/>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16" w:lineRule="auto"/>
        <w:tabs>
          <w:tab w:leader="none" w:pos="252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and its paying agent shall be entitled to withhold Taxes on all payments on the Preferred Stock or Common Stock or other securities issued upon conversion of the Preferred Stock in each case to the extent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that the Investor has previously delivered an appropriate IRS Form W-8 or W-9 to the Company establishing an exemption for U.S. federal withholding (including backup withholding), the Company shall not be permitted to withhold unless the Company has provided the Investor advance written notice of its intent to withhold at least five (5) days prior to the payment of the amount subject to withholding, and has given the Investor a reasonable opportunity to provide any form or certificate available to reduce or eliminate such withholding. Within a reasonable amount of time after making such withholding payment, the Company shall furnish the Investor with copies of any tax certificate, receipt or other documentation reasonably acceptable to the Investor evidencing such payment.</w:t>
      </w:r>
    </w:p>
    <w:p>
      <w:pPr>
        <w:spacing w:after="0" w:line="154"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any and all documentary, stamp and similar issue or transfer Tax due on (x) the issuance of the Preferred Stock and (y) the issuance of shares of Common Stock upon conversion of the Preferred Stock. However,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65" w:right="339" w:bottom="1440" w:gutter="0" w:footer="0" w:header="0"/>
        </w:sectPr>
      </w:pPr>
    </w:p>
    <w:bookmarkStart w:id="103" w:name="page104"/>
    <w:bookmarkEnd w:id="103"/>
    <w:p>
      <w:pPr>
        <w:jc w:val="both"/>
        <w:spacing w:after="0" w:line="222" w:lineRule="auto"/>
        <w:rPr>
          <w:sz w:val="20"/>
          <w:szCs w:val="20"/>
          <w:color w:val="auto"/>
        </w:rPr>
      </w:pPr>
      <w:r>
        <w:rPr>
          <w:rFonts w:ascii="Times New Roman" w:cs="Times New Roman" w:eastAsia="Times New Roman" w:hAnsi="Times New Roman"/>
          <w:sz w:val="21"/>
          <w:szCs w:val="21"/>
          <w:color w:val="auto"/>
        </w:rPr>
        <w:t>conversion of Preferred Stock, the Company shall not be required to pay any Tax or duty that may be payable in respect of any transfer involved in the issuance and delivery of shares of Common Stock or Preferred Stock to a beneficial owner other than the beneficial owner of the Preferred Stock immediately prior to such conversion,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49" w:lineRule="exact"/>
        <w:rPr>
          <w:sz w:val="20"/>
          <w:szCs w:val="20"/>
          <w:color w:val="auto"/>
        </w:rPr>
      </w:pPr>
    </w:p>
    <w:p>
      <w:pPr>
        <w:jc w:val="both"/>
        <w:ind w:firstLine="1905"/>
        <w:spacing w:after="0" w:line="220" w:lineRule="auto"/>
        <w:tabs>
          <w:tab w:leader="none" w:pos="252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and shall cause each of their Affiliates to, treat the Acquired Shares as “common stock” rather than as “preferred stock” for purposes of Section 305 of the Code. Without the prior written consent of the Investor Parties, the Company shall not (and the Board shall not authorize the Company to) take any action that would reasonably be expected to cause an Investor Party (or its direct or indirect equityholders) to recognize taxable income by reason of the operation of Section 305(b)(2) of the Code. Neither party will, nor will permit their Affiliates to, take a contrary position without the other party’s prior written consent.</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5.10</w:t>
      </w:r>
      <w:r>
        <w:rPr>
          <w:sz w:val="20"/>
          <w:szCs w:val="20"/>
          <w:color w:val="auto"/>
        </w:rPr>
        <w:tab/>
      </w:r>
      <w:r>
        <w:rPr>
          <w:rFonts w:ascii="Times New Roman" w:cs="Times New Roman" w:eastAsia="Times New Roman" w:hAnsi="Times New Roman"/>
          <w:sz w:val="21"/>
          <w:szCs w:val="21"/>
          <w:u w:val="single" w:color="auto"/>
          <w:color w:val="auto"/>
        </w:rPr>
        <w:t>Spin-Off Matters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and shall cause each of its Affiliates to, (i) consult in good faith with the Investor with respect to the structuring of a Spin-Off, and give reasonable and good faith consideration to any proposals or comments made by the Investor and its counsel, (ii) provide the Investor with a reasonable opportunity to review and comment upon (A) all Spin-Off Transaction Documents (including any amendment or waiver to the Spin-Off Transaction Documents) prior to execution (or waiver) thereof, (B) any registration statement (including any amendments or supplements thereto), to be filed by SpinCo with the SEC in connection such Spin-Off prior to such filing, and, in each case, give reasonable and good faith consideration to any comments made by the Investor and its counsel and (C) any information, other than publicly available information filed with the SEC in connection with the transactions contemplated hereby, contained in any filings with a Governmental Authority (including the SEC and the IRS or any other Taxing Authority) that relates to the Investor or this Agreement (which approval will not be unreasonably withheld, delayed or conditioned), (iii) keep the Investor apprised on a reasonably current basis of (A) the anticipated date and time of the consummation of such Spin-Off, (B) progress of any antitrust, regulatory or other notification or filing required in connection with the transactions contemplated by the Spin-Off Transaction Documents, (C) any material disputes that arise under or relate to the Spin-Off Transaction Documents and (D) material communications or submissions with the IRS or other Taxing Authority concerning the matters set forth herein, and (iv) not, without the consent of the Investor (not to be unreasonably withheld, delayed or conditioned), consummate a Spin-Off without obtaining a Tax Opinion or Ruling.</w:t>
      </w:r>
    </w:p>
    <w:p>
      <w:pPr>
        <w:spacing w:after="0" w:line="140"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Standalone Spin-Off is consummated, in connection with the consummation of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Spin-Off:</w:t>
      </w:r>
    </w:p>
    <w:p>
      <w:pPr>
        <w:spacing w:after="0" w:line="156" w:lineRule="exact"/>
        <w:rPr>
          <w:rFonts w:ascii="Times New Roman" w:cs="Times New Roman" w:eastAsia="Times New Roman" w:hAnsi="Times New Roman"/>
          <w:sz w:val="21"/>
          <w:szCs w:val="21"/>
          <w:color w:val="auto"/>
        </w:rPr>
      </w:pPr>
    </w:p>
    <w:p>
      <w:pPr>
        <w:jc w:val="both"/>
        <w:ind w:firstLine="2538"/>
        <w:spacing w:after="0" w:line="217" w:lineRule="auto"/>
        <w:tabs>
          <w:tab w:leader="none" w:pos="315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Company shall cause SpinCo to issue to the Company a number of shares of convertible preferred stock of SpinCo having an aggregate liquidation preference equal to the Specified Assumed Amount (the “</w:t>
      </w:r>
      <w:r>
        <w:rPr>
          <w:rFonts w:ascii="Times New Roman" w:cs="Times New Roman" w:eastAsia="Times New Roman" w:hAnsi="Times New Roman"/>
          <w:sz w:val="21"/>
          <w:szCs w:val="21"/>
          <w:u w:val="single" w:color="auto"/>
          <w:color w:val="auto"/>
        </w:rPr>
        <w:t>SpinCo Preferred Stock</w:t>
      </w:r>
      <w:r>
        <w:rPr>
          <w:rFonts w:ascii="Times New Roman" w:cs="Times New Roman" w:eastAsia="Times New Roman" w:hAnsi="Times New Roman"/>
          <w:sz w:val="21"/>
          <w:szCs w:val="21"/>
          <w:color w:val="auto"/>
        </w:rPr>
        <w:t xml:space="preserve">”) and having the designation, preferences, rights, privileges, powers, and terms and conditions, that are identical to those specified in the Certificate of Designations and (B) the Company shall, immediately following such issuance, issue such SpinCo Preferred Stock to the applicable Investor Parties in exchange for a number of shares of Preferred Stock having an aggregate liquidation preference equal to the Specified Assumed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case of the foregoing clauses (A) and (B), such transactions shall be structured for U.S. federal income tax purposes as a distribution of preferred shares in SpinCo to the Investor Parties in respect of the Investor Parties’ Preferred Stock in a transaction qualifying as tax-deferred to the Investor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65" w:right="339" w:bottom="1440" w:gutter="0" w:footer="0" w:header="0"/>
        </w:sectPr>
      </w:pPr>
    </w:p>
    <w:bookmarkStart w:id="104" w:name="page105"/>
    <w:bookmarkEnd w:id="104"/>
    <w:p>
      <w:pPr>
        <w:spacing w:after="0" w:line="244" w:lineRule="auto"/>
        <w:rPr>
          <w:sz w:val="20"/>
          <w:szCs w:val="20"/>
          <w:color w:val="auto"/>
        </w:rPr>
      </w:pPr>
      <w:r>
        <w:rPr>
          <w:rFonts w:ascii="Times New Roman" w:cs="Times New Roman" w:eastAsia="Times New Roman" w:hAnsi="Times New Roman"/>
          <w:sz w:val="21"/>
          <w:szCs w:val="21"/>
          <w:color w:val="auto"/>
        </w:rPr>
        <w:t>Section 355 or Section 361 of the Code and the Investor, the Company and SpinCo shall otherwise use good faith efforts to structure such transactions in a tax efficient manner; and</w:t>
      </w:r>
    </w:p>
    <w:p>
      <w:pPr>
        <w:spacing w:after="0" w:line="142" w:lineRule="exact"/>
        <w:rPr>
          <w:sz w:val="20"/>
          <w:szCs w:val="20"/>
          <w:color w:val="auto"/>
        </w:rPr>
      </w:pPr>
    </w:p>
    <w:p>
      <w:pPr>
        <w:jc w:val="both"/>
        <w:ind w:firstLine="2538"/>
        <w:spacing w:after="0" w:line="214" w:lineRule="auto"/>
        <w:tabs>
          <w:tab w:leader="none" w:pos="315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cause SpinCo to enter into an investor rights agreement and a registration rights agreement, in each case, with the Investor and/or its applicable Affiliates, and duly adopt and file a certificate of designation with the Secretary of State of the State of Delaware (or such other applicable jurisdiction), that provides the Investor Parties with rights and obligations that are identical to those set forth in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(if requested in writing by the Investor) and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xml:space="preserve"> (provided that </w:t>
      </w:r>
      <w:r>
        <w:rPr>
          <w:rFonts w:ascii="Times New Roman" w:cs="Times New Roman" w:eastAsia="Times New Roman" w:hAnsi="Times New Roman"/>
          <w:sz w:val="21"/>
          <w:szCs w:val="21"/>
          <w:u w:val="single" w:color="auto"/>
          <w:color w:val="auto"/>
        </w:rPr>
        <w:t>Section 5.18(d)</w:t>
      </w:r>
      <w:r>
        <w:rPr>
          <w:rFonts w:ascii="Times New Roman" w:cs="Times New Roman" w:eastAsia="Times New Roman" w:hAnsi="Times New Roman"/>
          <w:sz w:val="21"/>
          <w:szCs w:val="21"/>
          <w:color w:val="auto"/>
        </w:rPr>
        <w:t xml:space="preserve"> shall be revised in form and substance reasonably acceptable to the Investor Parties and shall be no more restrictive than any restriction on indebtedness covenant to be set forth in any revolving credit facility that is entered into by SpinCo), the Registration Rights Agreement and the Certificate of Designations, as applicable, in each case, with such changes as set forth in Annex I hereto and such additional changes to be agreed among the Company, the Investor and SpinCo. In addition, to the extent SpinCo has not done so on the date that the Standalone Spin-Off is consummated, SpinCo shall, as promptly as possible after the date thereof, apply to cause the aggregate number of shares of common stock issuable upon the conversion of the SpinCo Preferred Stock issued to the Investor pursuant to this Agreement and pursuant to the SpinCo certificate of designations to be approved for listing on the NASDAQ or other national securities exchange, subject to official notice of issuance;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SpinCo shall promptly amend such application to account for any event that results in an adjustment to the conversion price of the SpinCo Preferred Stock.</w:t>
      </w:r>
    </w:p>
    <w:p>
      <w:pPr>
        <w:spacing w:after="0" w:line="14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to the contrary, if the Company announces a Standalone Spin-Off and then, prior to the consummation of such Standalone Spin-Off, the Company subsequently announces a Subsequent Transaction, the Company shall have no obligations under this </w:t>
      </w:r>
      <w:r>
        <w:rPr>
          <w:rFonts w:ascii="Times New Roman" w:cs="Times New Roman" w:eastAsia="Times New Roman" w:hAnsi="Times New Roman"/>
          <w:sz w:val="21"/>
          <w:szCs w:val="21"/>
          <w:u w:val="single" w:color="auto"/>
          <w:color w:val="auto"/>
        </w:rPr>
        <w:t>Section 5.10(b)</w:t>
      </w:r>
      <w:r>
        <w:rPr>
          <w:rFonts w:ascii="Times New Roman" w:cs="Times New Roman" w:eastAsia="Times New Roman" w:hAnsi="Times New Roman"/>
          <w:sz w:val="21"/>
          <w:szCs w:val="21"/>
          <w:color w:val="auto"/>
        </w:rPr>
        <w:t xml:space="preserve"> unless and until the Subsequent Transaction is terminated and the Company determines to undertake a Standalone Spin-Off.</w:t>
      </w:r>
    </w:p>
    <w:p>
      <w:pPr>
        <w:spacing w:after="0" w:line="150"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shall use the proceeds from the issuance and sale of the Acquired Shares (a) to pay for any costs, fees and expenses incurred in connection with the Transactions or (b) for general corporate purposes, including any potential Spin-Off.</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DTC Eligibility</w:t>
      </w:r>
      <w:r>
        <w:rPr>
          <w:rFonts w:ascii="Times New Roman" w:cs="Times New Roman" w:eastAsia="Times New Roman" w:hAnsi="Times New Roman"/>
          <w:sz w:val="21"/>
          <w:szCs w:val="21"/>
          <w:color w:val="auto"/>
        </w:rPr>
        <w:t>. Promptly following the Closing, the Company shall use commercially reasonable efforts to cause the shares of Preferred Stock to be eligible for resale through The Depository Trust Company.</w:t>
      </w:r>
    </w:p>
    <w:p>
      <w:pPr>
        <w:spacing w:after="0" w:line="142"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 From and after the Closing, if requested by an Investor Party, the Company will provide cooperation (with, in each case, all reasonable, documented out-of-pocket expenses, including legal expenses, incurred by the Company in connection with the foregoing, being borne by such Investor Party) in connection with such Investor Party obtaining any Permitted Loan, including with respect to the following: (i) entering into an issuer agreement (in customary form and substance reasonably satisfactory to the Company and the sources of the Permitted Loan) with each lender in connection with such transactions (which agreement may include agreements and obligations of the Company relating to procedures and specified time periods for effecting transfers and/or conversions upon Foreclosure, agreements to not hinder or delay exercises of remedies on Foreclosure, acknowledgments regarding Organizational Documents and corporate policy, if applicable, and certain acknowledgments regarding the pledged shares of Preferred Stock and/or shares of Common Stock issued upon conversion of shares of Preferred Stock and securities law status of the pledge arrangements and a specified list of Competitors (which, for the avoidance of doubt, shall only apply if such transaction is not undertaken in a registered offering or an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65" w:right="339" w:bottom="1440" w:gutter="0" w:footer="0" w:header="0"/>
        </w:sectPr>
      </w:pPr>
    </w:p>
    <w:bookmarkStart w:id="105" w:name="page106"/>
    <w:bookmarkEnd w:id="105"/>
    <w:p>
      <w:pPr>
        <w:jc w:val="both"/>
        <w:spacing w:after="0" w:line="211" w:lineRule="auto"/>
        <w:rPr>
          <w:sz w:val="20"/>
          <w:szCs w:val="20"/>
          <w:color w:val="auto"/>
        </w:rPr>
      </w:pPr>
      <w:r>
        <w:rPr>
          <w:rFonts w:ascii="Times New Roman" w:cs="Times New Roman" w:eastAsia="Times New Roman" w:hAnsi="Times New Roman"/>
          <w:sz w:val="21"/>
          <w:szCs w:val="21"/>
          <w:color w:val="auto"/>
        </w:rPr>
        <w:t>exempt from registration under Rule 144 or Rule 144A of the Securities Act), (ii) using commercially reasonable efforts to (A) remove any restrictive legends on certificates representing pledged shares of Preferred Stock and/or shares of Common Stock issued upon conversion of shares of Preferred Stock and depositing any pledged shares of Preferred Stock and/or shares of Common Stock issued upon conversion of shares of Preferred Stock in book entry form on the books of The Depository Trust Company, in each case when eligible to do so or otherwise as agreed with the transfer agent (and providing any necessary indemnities to the transfer agent in connection therewith) or (B) without limiting the generality of clause (A), if such shares of Preferred Stock or Common Stock are eligible for resale under Rule 144A, depositing such pledged shares of Preferred Stock and/or shares of Common Stock in book entry form on the books of The Depository Trust Company or other depository with customary representations and warranties from the applicable Investor Party or its applicable Affiliates regarding compliance with securities Laws, (iii) if so requested by such lender or counterparty, as applicable, re-registering on the books and records of the transfer agent the pledged shares of Preferred Stock and/or Common Stock in the name of the relevant lender, agent, counterparty, custodian or similar party to a Permitted Loan, with respect to a Permitted Loan as securities intermediary and only to the extent the Investor Parties (or its or their Affiliates) continue to beneficially own such pledged shares of Preferred Stock and/or Common Stock, (iv) entering into customary triparty agreements (in form and substance reasonably satisfactory to the Company and the sources of the Permitted Loan) with each lender and the applicable Investor Parties relating to the delivery of the applicable shares of Preferred Stock and/or Common Stock to the relevant lender for crediting to the relevant collateral accounts upon funding of the loan and payment of the purchase price including a right for such lender as a third party beneficiary of the Company’s obligations hereunder and (v) such other cooperation and assistance as the Investor Parties may reasonably request (which cooperation and assistance, for the avoidance of doubt, shall not include any requirements that the Company deliver information, compliance certificates or any other materials typically provided by borrowers to lenders) that will not unreasonably disrupt the operation of the Company’s business. Notwithstanding anything to the contrary in the preceding sentence, the Company’s obligation to deliver an issuer agreement is conditioned on the Investor certifying to the Company in writing that (A) the loan agreement with respect to which the issuer agreement is being delivered constitutes a Permitted Loan being entered into in accordance with this Agreement, the Investor has pledged the Preferred Stock and/or the underlying shares of Common Stock as collateral to the lenders under such Permitted Loan and that the execution of such Permitted Loan and the terms thereof do not violate the terms of this Agreement, (B) to the extent applicable, whether the registration rights under the Registration Rights Agreement are being assigned to the lenders under that Permitted Loan and (C) the Investor Parties acknowledge and agree that the Company will be relying on such certificate when entering into the issuer agreement and any material inaccuracy in such certificate will be deemed a breach of this Agreement. The Investor Parties acknowledge and agree that the statements and agreements of the Company in an issuer agreement are solely for the benefit of the applicable lenders party thereto and that in any dispute between the Company and the Investor Parties under this Agreement the Investor Parties shall not be entitled to use the statements and agreements of the Company in an issuer agreement against the Company.</w:t>
      </w:r>
    </w:p>
    <w:p>
      <w:pPr>
        <w:spacing w:after="0" w:line="171"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State Securities Laws</w:t>
      </w:r>
      <w:r>
        <w:rPr>
          <w:rFonts w:ascii="Times New Roman" w:cs="Times New Roman" w:eastAsia="Times New Roman" w:hAnsi="Times New Roman"/>
          <w:sz w:val="21"/>
          <w:szCs w:val="21"/>
          <w:color w:val="auto"/>
        </w:rPr>
        <w:t xml:space="preserve">. Promptly following the date hereof, the Company shall use its reasonable best efforts to (a) make all filings with the SEC under the Securities Act and Exchange Act related to the execution of the Transaction Documents and the consummation of the transactions contemplated thereby in the time periods required by (including any extensions permitted by) the Securities Act and Exchange Act, as applicable, (b) obtain all necessary permits and qualifications, if any, or secure an exemption therefrom, required by any state or country prior to the offer and sale of Common Stock and/or Preferred Stock and (c) cause such authorization, approval, permit or qualification to be effective as of the Closing and as of any conversion of Preferred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connection therewith the Company shall not be required to qualify as a foreign corporation or to file a general consent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65" w:right="339" w:bottom="1440" w:gutter="0" w:footer="0" w:header="0"/>
        </w:sectPr>
      </w:pPr>
    </w:p>
    <w:bookmarkStart w:id="106" w:name="page107"/>
    <w:bookmarkEnd w:id="106"/>
    <w:p>
      <w:pPr>
        <w:spacing w:after="0" w:line="244" w:lineRule="auto"/>
        <w:rPr>
          <w:sz w:val="20"/>
          <w:szCs w:val="20"/>
          <w:color w:val="auto"/>
        </w:rPr>
      </w:pPr>
      <w:r>
        <w:rPr>
          <w:rFonts w:ascii="Times New Roman" w:cs="Times New Roman" w:eastAsia="Times New Roman" w:hAnsi="Times New Roman"/>
          <w:sz w:val="21"/>
          <w:szCs w:val="21"/>
          <w:color w:val="auto"/>
        </w:rPr>
        <w:t>service of process in any jurisdiction or subject itself to taxation in any jurisdiction in which it is not otherwise subject to taxation on the date of this Agreement.</w:t>
      </w:r>
    </w:p>
    <w:p>
      <w:pPr>
        <w:spacing w:after="0" w:line="142"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5.15</w:t>
      </w:r>
      <w:r>
        <w:rPr>
          <w:sz w:val="20"/>
          <w:szCs w:val="20"/>
          <w:color w:val="auto"/>
        </w:rPr>
        <w:tab/>
      </w:r>
      <w:r>
        <w:rPr>
          <w:rFonts w:ascii="Times New Roman" w:cs="Times New Roman" w:eastAsia="Times New Roman" w:hAnsi="Times New Roman"/>
          <w:sz w:val="21"/>
          <w:szCs w:val="21"/>
          <w:u w:val="single" w:color="auto"/>
          <w:color w:val="auto"/>
        </w:rPr>
        <w:t>Participation Rights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Excluded Stock</w:t>
      </w:r>
      <w:r>
        <w:rPr>
          <w:rFonts w:ascii="Times New Roman" w:cs="Times New Roman" w:eastAsia="Times New Roman" w:hAnsi="Times New Roman"/>
          <w:sz w:val="21"/>
          <w:szCs w:val="21"/>
          <w:color w:val="auto"/>
        </w:rPr>
        <w:t>” shall mean (i) shares of equity securities issued by the Company as a stock dividend payable in shares of equity securities, or upon any subdivision or split-up of the outstanding shares of capital stock, (ii) the issuance of shares of equity securities (including upon exercise of options) to directors, employees or consultants of the Company pursuant to a Company Stock Plan or other stock option plan, restricted stock plan or other similar plan approved by the Board, (iii) securities issued pursuant to the conversion, exercise or exchange of the Preferred Stock issued to the Investor, (iv) shares of equity securities issued as consideration in connection with a “business combination” (as defined by the rules and regulations promulgated by the SEC) or as consideration in connection with bona fide acquisitions of securities or substantially all of the assets of another Person, business unit, division or business, (v) securities issued pursuant to acquisitions or strategic transactions (including, for the avoidance of doubt, whether structured as a merger, consolidation, asset or stock purchase, or other similar transaction); (vi) securities issued pursuant to the conversion, exercise or exchange of Preferred Stock, (vii) shares of a Subsidiary of the Company issued to the Company or a Subsidiary of the Company, (viii) securities of a joint venture (provided that no Affiliate (other than any Subsidiary of the Company) of the Company acquires any interest in such securities in connection with such issuance) or (ix) shares of equity securities to a third-party lender in connection with a bona fide borrowing by the Company that is primarily a debt financing transaction.</w:t>
      </w:r>
    </w:p>
    <w:p>
      <w:pPr>
        <w:spacing w:after="0" w:line="150"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twelve (12) month anniversary of the Closing until the occurrence of the Fall-Away of Board Rights, if the Company or a Subsidiary of the Company proposes to issue equity securities of any kind (the term “equity securities” shall include for these purposes Common Stock and any warrants, options or other rights to acquire, or any securities that are exercisable for, exchangeable for or convertible into, Common Stock or any other class of capital stock of the Company), other than Excluded Stock, then, the Company shall:</w:t>
      </w:r>
    </w:p>
    <w:p>
      <w:pPr>
        <w:spacing w:after="0" w:line="149" w:lineRule="exact"/>
        <w:rPr>
          <w:rFonts w:ascii="Times New Roman" w:cs="Times New Roman" w:eastAsia="Times New Roman" w:hAnsi="Times New Roman"/>
          <w:sz w:val="21"/>
          <w:szCs w:val="21"/>
          <w:color w:val="auto"/>
        </w:rPr>
      </w:pPr>
    </w:p>
    <w:p>
      <w:pPr>
        <w:jc w:val="both"/>
        <w:ind w:firstLine="2538"/>
        <w:spacing w:after="0" w:line="215" w:lineRule="auto"/>
        <w:tabs>
          <w:tab w:leader="none" w:pos="3153"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written notice to the Investor Parties, no less than five (5) Business Days prior to the closing of such issuance, setting forth in reasonable detail (A) the designation and all of the terms and provisions of the securities proposed to be issued (the “</w:t>
      </w:r>
      <w:r>
        <w:rPr>
          <w:rFonts w:ascii="Times New Roman" w:cs="Times New Roman" w:eastAsia="Times New Roman" w:hAnsi="Times New Roman"/>
          <w:sz w:val="21"/>
          <w:szCs w:val="21"/>
          <w:u w:val="single" w:color="auto"/>
          <w:color w:val="auto"/>
        </w:rPr>
        <w:t>Proposed Securities</w:t>
      </w:r>
      <w:r>
        <w:rPr>
          <w:rFonts w:ascii="Times New Roman" w:cs="Times New Roman" w:eastAsia="Times New Roman" w:hAnsi="Times New Roman"/>
          <w:sz w:val="21"/>
          <w:szCs w:val="21"/>
          <w:color w:val="auto"/>
        </w:rPr>
        <w:t>”), including, where applicable, the voting powers, preferences and relative participating, optional or other special rights, and the qualification, limitations or restrictions thereof and interest rate and maturity;</w:t>
      </w:r>
    </w:p>
    <w:p>
      <w:pPr>
        <w:spacing w:after="0" w:line="2" w:lineRule="exact"/>
        <w:rPr>
          <w:rFonts w:ascii="Times New Roman" w:cs="Times New Roman" w:eastAsia="Times New Roman" w:hAnsi="Times New Roman"/>
          <w:sz w:val="21"/>
          <w:szCs w:val="21"/>
          <w:color w:val="auto"/>
        </w:rPr>
      </w:pPr>
    </w:p>
    <w:p>
      <w:pPr>
        <w:ind w:left="360" w:hanging="354"/>
        <w:spacing w:after="0" w:line="209" w:lineRule="auto"/>
        <w:tabs>
          <w:tab w:leader="none" w:pos="3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price and other terms of the proposed sale of such securities; (C) the amount of such securities proposed to be issued; and</w:t>
      </w:r>
    </w:p>
    <w:p>
      <w:pPr>
        <w:jc w:val="both"/>
        <w:ind w:firstLine="6"/>
        <w:spacing w:after="0" w:line="223" w:lineRule="auto"/>
        <w:tabs>
          <w:tab w:leader="none" w:pos="34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information as the Investor Parties may reasonably request in order to evaluate the proposed issuance (except that the Company shall not be required to deliver any information that has not been or will not be provided or otherwise made available to the proposed purchasers of the Proposed Securities); and</w:t>
      </w:r>
    </w:p>
    <w:p>
      <w:pPr>
        <w:spacing w:after="0" w:line="146" w:lineRule="exact"/>
        <w:rPr>
          <w:rFonts w:ascii="Times New Roman" w:cs="Times New Roman" w:eastAsia="Times New Roman" w:hAnsi="Times New Roman"/>
          <w:sz w:val="21"/>
          <w:szCs w:val="21"/>
          <w:color w:val="auto"/>
        </w:rPr>
      </w:pPr>
    </w:p>
    <w:p>
      <w:pPr>
        <w:jc w:val="both"/>
        <w:ind w:firstLine="2538"/>
        <w:spacing w:after="0" w:line="218" w:lineRule="auto"/>
        <w:tabs>
          <w:tab w:leader="none" w:pos="3159"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 to issue and sell to the Investor Parties, on such terms as the Proposed Securities are issued and upon full payment by the Investor Parties, a portion of the Proposed Securities equal to a percentage determined by dividing (A) the number of shares of Common Stock the Investor Parties beneficially own (on an “as-converted basis”) by (B) the total number of shares of Common Stock then outstanding (on an “as-converted basis”) (such percentage, the “</w:t>
      </w:r>
      <w:r>
        <w:rPr>
          <w:rFonts w:ascii="Times New Roman" w:cs="Times New Roman" w:eastAsia="Times New Roman" w:hAnsi="Times New Roman"/>
          <w:sz w:val="21"/>
          <w:szCs w:val="21"/>
          <w:u w:val="single" w:color="auto"/>
          <w:color w:val="auto"/>
        </w:rPr>
        <w:t>Participation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Portion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compliance with the terms and conditions set forth in </w:t>
      </w:r>
      <w:r>
        <w:rPr>
          <w:rFonts w:ascii="Times New Roman" w:cs="Times New Roman" w:eastAsia="Times New Roman" w:hAnsi="Times New Roman"/>
          <w:sz w:val="21"/>
          <w:szCs w:val="21"/>
          <w:u w:val="single" w:color="auto"/>
          <w:color w:val="auto"/>
        </w:rPr>
        <w:t>Section 5.15(h)</w:t>
      </w:r>
      <w:r>
        <w:rPr>
          <w:rFonts w:ascii="Times New Roman" w:cs="Times New Roman" w:eastAsia="Times New Roman" w:hAnsi="Times New Roman"/>
          <w:sz w:val="21"/>
          <w:szCs w:val="21"/>
          <w:color w:val="auto"/>
        </w:rPr>
        <w:t>, the Company shall not be required to offer to issue or sell to the Investor Parties (or to any of them) the portion of the Proposed Securities that would require the Company to obtain stockholder approval in respect of the issuance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65" w:right="339" w:bottom="1440" w:gutter="0" w:footer="0" w:header="0"/>
        </w:sectPr>
      </w:pPr>
    </w:p>
    <w:bookmarkStart w:id="107" w:name="page108"/>
    <w:bookmarkEnd w:id="107"/>
    <w:p>
      <w:pPr>
        <w:jc w:val="both"/>
        <w:spacing w:after="0" w:line="225" w:lineRule="auto"/>
        <w:rPr>
          <w:sz w:val="20"/>
          <w:szCs w:val="20"/>
          <w:color w:val="auto"/>
        </w:rPr>
      </w:pPr>
      <w:r>
        <w:rPr>
          <w:rFonts w:ascii="Times New Roman" w:cs="Times New Roman" w:eastAsia="Times New Roman" w:hAnsi="Times New Roman"/>
          <w:sz w:val="21"/>
          <w:szCs w:val="21"/>
          <w:color w:val="auto"/>
        </w:rPr>
        <w:t>Proposed Securities under the listing rules of NASDAQ or any other securities exchange or any other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still be obligated to provide written notice of such proposed issuance to the Investor Parties pursuant to </w:t>
      </w:r>
      <w:r>
        <w:rPr>
          <w:rFonts w:ascii="Times New Roman" w:cs="Times New Roman" w:eastAsia="Times New Roman" w:hAnsi="Times New Roman"/>
          <w:sz w:val="21"/>
          <w:szCs w:val="21"/>
          <w:u w:val="single" w:color="auto"/>
          <w:color w:val="auto"/>
        </w:rPr>
        <w:t>Section 5.15(b)(i)</w:t>
      </w:r>
      <w:r>
        <w:rPr>
          <w:rFonts w:ascii="Times New Roman" w:cs="Times New Roman" w:eastAsia="Times New Roman" w:hAnsi="Times New Roman"/>
          <w:sz w:val="21"/>
          <w:szCs w:val="21"/>
          <w:color w:val="auto"/>
        </w:rPr>
        <w:t>, which notice shall include a description of the Proposed Securities (including the number thereof) that would require stockholder approval in respect of the issuance thereof (the “</w:t>
      </w:r>
      <w:r>
        <w:rPr>
          <w:rFonts w:ascii="Times New Roman" w:cs="Times New Roman" w:eastAsia="Times New Roman" w:hAnsi="Times New Roman"/>
          <w:sz w:val="21"/>
          <w:szCs w:val="21"/>
          <w:u w:val="single" w:color="auto"/>
          <w:color w:val="auto"/>
        </w:rPr>
        <w:t>Restricted Issuance Information</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905"/>
        <w:spacing w:after="0" w:line="213" w:lineRule="auto"/>
        <w:tabs>
          <w:tab w:leader="none" w:pos="252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 will have the option, on behalf of the applicable Investor Parties, exercisable by written notice to the Company, to accept the Company’s offer and commit to purchase any or all of the securities offered to be sold by the Company to the Investor Parties, which notice must be given within three (3) Business Days after receipt of such notice from the Company. The closing of the exercise of such subscription right shall take place simultaneously with the closing of the sale of the Proposed Securities giving rise to such subscription right;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closing of any purchase by any such Investor Party may be extended beyond the closing of the sale of the Proposed Securities giving rise to such preemptive right (but shall not delay such closing for any other purchaser) to the extent necessary to (i) obtain required approvals from any Governmental Authority or (ii) permit the Investor Parties to receive proceeds from calling capital pursuant to commitments made by its (or its affiliated investment funds’) limited partners. If the Investor elects to purchase any securities pursuant to this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 the Investor, at its sole expense, shall make any filings required in connection with such participation under antitrust or other applicable Law promptly following the delivery to the Company of the corresponding notice of acceptance and shall use reasonable best efforts to obtain applicable antitrust clearance and/or approval under antitrust or other applicable Laws. Notwithstanding anything to the contrary contained herein, if the Company desires to modify or amend the terms and conditions of the offer prior to the expiration of the offering period described above, the Company shall deliver to the Investor a new notice and the Investor will have the option, on behalf of the applicable Investor Parties, exercisable by written notice to the Company, to accept the Company’s offer and commit to purchase any or all of the securities offered to be sold by the Company to the Investor Parties, which notice must be given within three (3) Business Days after receipt of such new notice from the Company.</w:t>
      </w:r>
    </w:p>
    <w:p>
      <w:pPr>
        <w:spacing w:after="0" w:line="155"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expiration of the offering period described above, the Company will be free to sell such Proposed Securities that the Investor Parties have not elected to purchase during the ninety (90) days following such expiration on terms and conditions no more favorable to the purchasers thereof than those offered to the Investor Parties in the notice delivered in accordance with </w:t>
      </w:r>
      <w:r>
        <w:rPr>
          <w:rFonts w:ascii="Times New Roman" w:cs="Times New Roman" w:eastAsia="Times New Roman" w:hAnsi="Times New Roman"/>
          <w:sz w:val="21"/>
          <w:szCs w:val="21"/>
          <w:u w:val="single" w:color="auto"/>
          <w:color w:val="auto"/>
        </w:rPr>
        <w:t>Section 5.15(b)</w:t>
      </w:r>
      <w:r>
        <w:rPr>
          <w:rFonts w:ascii="Times New Roman" w:cs="Times New Roman" w:eastAsia="Times New Roman" w:hAnsi="Times New Roman"/>
          <w:sz w:val="21"/>
          <w:szCs w:val="21"/>
          <w:color w:val="auto"/>
        </w:rPr>
        <w:t xml:space="preserve">. Any Proposed Securities offered or sold by the Company after such ninety (90)-day period must be reoffered to the Investor Parties pursuant to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ind w:firstLine="1905"/>
        <w:spacing w:after="0" w:line="244" w:lineRule="auto"/>
        <w:tabs>
          <w:tab w:leader="none" w:pos="252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election by any Investor Party not to exercise its subscription rights under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in any one instance shall not affect their right as to any subsequent proposed issuance.</w:t>
      </w:r>
    </w:p>
    <w:p>
      <w:pPr>
        <w:spacing w:after="0" w:line="142" w:lineRule="exact"/>
        <w:rPr>
          <w:rFonts w:ascii="Times New Roman" w:cs="Times New Roman" w:eastAsia="Times New Roman" w:hAnsi="Times New Roman"/>
          <w:sz w:val="21"/>
          <w:szCs w:val="21"/>
          <w:color w:val="auto"/>
        </w:rPr>
      </w:pPr>
    </w:p>
    <w:p>
      <w:pPr>
        <w:jc w:val="both"/>
        <w:ind w:firstLine="1905"/>
        <w:spacing w:after="0" w:line="218" w:lineRule="auto"/>
        <w:tabs>
          <w:tab w:leader="none" w:pos="253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to the contrary, the Company will not be deemed to have breached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if not later than thirty (30) Business Days following the issuance of any Proposed Securities in contravention of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the Company or the transferee of such Proposed Securities offers to sell a portion of such equity securities or additional equity securities of the type(s) in question to each Investor Party so that, taking into account such previously-issued Proposed Securities and any such additional Proposed Securities, each Investor Party will have had the right to purchase or subscribe for Proposed Securities in a manner consistent with the allocation and other terms and upon the same economic and other terms provided for in </w:t>
      </w:r>
      <w:r>
        <w:rPr>
          <w:rFonts w:ascii="Times New Roman" w:cs="Times New Roman" w:eastAsia="Times New Roman" w:hAnsi="Times New Roman"/>
          <w:sz w:val="21"/>
          <w:szCs w:val="21"/>
          <w:u w:val="single" w:color="auto"/>
          <w:color w:val="auto"/>
        </w:rPr>
        <w:t>Section 5.15(b)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65" w:right="339" w:bottom="1440" w:gutter="0" w:footer="0" w:header="0"/>
        </w:sectPr>
      </w:pPr>
    </w:p>
    <w:bookmarkStart w:id="108" w:name="page109"/>
    <w:bookmarkEnd w:id="108"/>
    <w:p>
      <w:pPr>
        <w:jc w:val="both"/>
        <w:ind w:firstLine="1905"/>
        <w:spacing w:after="0" w:line="222" w:lineRule="auto"/>
        <w:tabs>
          <w:tab w:leader="none" w:pos="25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issuance subject to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for consideration in whole or in part other than cash, including securities acquired in exchange therefor (other than securities by their terms so exchangeable), the consideration other than cash shall be deemed to be the Fair Market Value thereof (except for one or more exchanges of the Convertible Notes). Notwithstanding anything in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to the contrary, the Investor’s participation rights shall not include an offering of securities acquired in exchange for the Convertible Notes.</w:t>
      </w:r>
    </w:p>
    <w:p>
      <w:pPr>
        <w:spacing w:after="0" w:line="149"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Company is not required to offer or reoffer to the Investor Parties any Proposed Securities because such issuance would require the Company to obtain stockholder approval in respect of the issuance of any Proposed Securities under the listing rules of NASDAQ or any other securities exchange or any other applicable Law, the Company shall, upon the Investor Parties’ reasonable request delivered to the Company in writing within no later than three (3) Business Days following its receipt of the written notice of such issuance to the Investor Parties pursuant to </w:t>
      </w:r>
      <w:r>
        <w:rPr>
          <w:rFonts w:ascii="Times New Roman" w:cs="Times New Roman" w:eastAsia="Times New Roman" w:hAnsi="Times New Roman"/>
          <w:sz w:val="21"/>
          <w:szCs w:val="21"/>
          <w:u w:val="single" w:color="auto"/>
          <w:color w:val="auto"/>
        </w:rPr>
        <w:t>Section 5.15(b)(i)</w:t>
      </w:r>
      <w:r>
        <w:rPr>
          <w:rFonts w:ascii="Times New Roman" w:cs="Times New Roman" w:eastAsia="Times New Roman" w:hAnsi="Times New Roman"/>
          <w:sz w:val="21"/>
          <w:szCs w:val="21"/>
          <w:color w:val="auto"/>
        </w:rPr>
        <w:t xml:space="preserve"> (together with the Restricted Issuance Information), at the Investor Parties’ election:</w:t>
      </w:r>
    </w:p>
    <w:p>
      <w:pPr>
        <w:spacing w:after="0" w:line="149" w:lineRule="exact"/>
        <w:rPr>
          <w:rFonts w:ascii="Times New Roman" w:cs="Times New Roman" w:eastAsia="Times New Roman" w:hAnsi="Times New Roman"/>
          <w:sz w:val="21"/>
          <w:szCs w:val="21"/>
          <w:color w:val="auto"/>
        </w:rPr>
      </w:pPr>
    </w:p>
    <w:p>
      <w:pPr>
        <w:jc w:val="both"/>
        <w:ind w:firstLine="2538"/>
        <w:spacing w:after="0" w:line="222" w:lineRule="auto"/>
        <w:tabs>
          <w:tab w:leader="none" w:pos="3153"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the restrictions set forth in </w:t>
      </w:r>
      <w:r>
        <w:rPr>
          <w:rFonts w:ascii="Times New Roman" w:cs="Times New Roman" w:eastAsia="Times New Roman" w:hAnsi="Times New Roman"/>
          <w:sz w:val="21"/>
          <w:szCs w:val="21"/>
          <w:u w:val="single" w:color="auto"/>
          <w:color w:val="auto"/>
        </w:rPr>
        <w:t>Section 5.05(a)</w:t>
      </w:r>
      <w:r>
        <w:rPr>
          <w:rFonts w:ascii="Times New Roman" w:cs="Times New Roman" w:eastAsia="Times New Roman" w:hAnsi="Times New Roman"/>
          <w:sz w:val="21"/>
          <w:szCs w:val="21"/>
          <w:color w:val="auto"/>
        </w:rPr>
        <w:t xml:space="preserve"> solely to the extent necessary to permit any Investor Party to acquire such number of securities of the Company (including Common Stock) equivalent to its Participation Portion of the Proposed Securities such Investor Party would have been entitled to purchase had it been entitled to acquire such Proposed Securities pursuant to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 xml:space="preserve"> (provided, that such request by Investor Parties shall not be deemed to be a violation of </w:t>
      </w:r>
      <w:r>
        <w:rPr>
          <w:rFonts w:ascii="Times New Roman" w:cs="Times New Roman" w:eastAsia="Times New Roman" w:hAnsi="Times New Roman"/>
          <w:sz w:val="21"/>
          <w:szCs w:val="21"/>
          <w:u w:val="single" w:color="auto"/>
          <w:color w:val="auto"/>
        </w:rPr>
        <w:t>Section 5.05(h)</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2538"/>
        <w:spacing w:after="0" w:line="225" w:lineRule="auto"/>
        <w:tabs>
          <w:tab w:leader="none" w:pos="3159"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 and discuss in good faith modifications proposed by the Investor Parties to the terms and conditions of such portion of the Proposed Securities which would otherwise be issued to the Investor Parties such that the Company would not be required to obtain stockholder approval in respect of the issuance of such Proposed Securities as so modified; and/or</w:t>
      </w:r>
    </w:p>
    <w:p>
      <w:pPr>
        <w:spacing w:after="0" w:line="149" w:lineRule="exact"/>
        <w:rPr>
          <w:rFonts w:ascii="Times New Roman" w:cs="Times New Roman" w:eastAsia="Times New Roman" w:hAnsi="Times New Roman"/>
          <w:sz w:val="21"/>
          <w:szCs w:val="21"/>
          <w:color w:val="auto"/>
        </w:rPr>
      </w:pPr>
    </w:p>
    <w:p>
      <w:pPr>
        <w:jc w:val="both"/>
        <w:ind w:firstLine="2538"/>
        <w:spacing w:after="0" w:line="231" w:lineRule="auto"/>
        <w:tabs>
          <w:tab w:leader="none" w:pos="316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to the extent that stockholder approval is required in connection with the issuance of equity securities to Persons other than the Investor Parties, take such actions as may be reasonably necessary to seek stockholder approval in respect of the issuance of any Proposed Securities to the Investor Parties.</w:t>
      </w:r>
    </w:p>
    <w:p>
      <w:pPr>
        <w:spacing w:after="0" w:line="147"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Section 16 Matters</w:t>
      </w:r>
      <w:r>
        <w:rPr>
          <w:rFonts w:ascii="Times New Roman" w:cs="Times New Roman" w:eastAsia="Times New Roman" w:hAnsi="Times New Roman"/>
          <w:sz w:val="21"/>
          <w:szCs w:val="21"/>
          <w:color w:val="auto"/>
        </w:rPr>
        <w:t>. If the Company becomes a party to a consolidation, merger or other similar transaction that may result in the Investor, its Affiliates, or the Investor Director being deemed to have made a disposition of equity securities of the Company or derivatives thereof for purposes of Section 16 of the Exchange Act, and if an Investor Director is serving on the Board at such time or has served on the Board during the preceding six (6) months, then (i) the Board will pre-approve such disposition of equity securities or derivatives thereof for the express purpose of exempting the Investor’s, its Affiliates’ and the Investor Director’s interests (to the extent the Investor or its Affiliates may be deemed to be “directors by deputization”) in such transaction from Section 16(b) of the Exchange Act pursuant to Rule 16b-3 thereunder and (ii) if the transaction involves (A) a merger or consolidation to which the Company is a party and Company capital stock is, in whole or in part, converted into or exchanged for equity securities of a different issuer, (B) a potential acquisition by the Investor, the Investor’s Affiliates and/or the Investor Director of equity securities of such other issuer or derivatives thereof and (C) an Affiliate or other designee of the Investor or its Affiliates that will serve on the board of directors (or its equivalent) of such other issuer, then if the Investor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request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65" w:right="339" w:bottom="1440" w:gutter="0" w:footer="0" w:header="0"/>
        </w:sectPr>
      </w:pPr>
    </w:p>
    <w:bookmarkStart w:id="109" w:name="page110"/>
    <w:bookmarkEnd w:id="109"/>
    <w:p>
      <w:pPr>
        <w:jc w:val="both"/>
        <w:spacing w:after="0" w:line="225" w:lineRule="auto"/>
        <w:rPr>
          <w:sz w:val="20"/>
          <w:szCs w:val="20"/>
          <w:color w:val="auto"/>
        </w:rPr>
      </w:pPr>
      <w:r>
        <w:rPr>
          <w:rFonts w:ascii="Times New Roman" w:cs="Times New Roman" w:eastAsia="Times New Roman" w:hAnsi="Times New Roman"/>
          <w:sz w:val="21"/>
          <w:szCs w:val="21"/>
          <w:color w:val="auto"/>
        </w:rPr>
        <w:t>such other issuer pre-approve any such acquisitions of equity securities or derivatives thereof for the express purpose of exempting the interests of the Investor’s, its Affiliates’ and the Investor Director’s (for the Investor and/or its Affiliates, to the extent such persons may be deemed to be “directors by deputization” of such other issuer) in such transactions from Section 16(b) of the Exchange Act pursuant to Rule 16b-3 thereunder.</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5.17</w:t>
      </w:r>
      <w:r>
        <w:rPr>
          <w:sz w:val="20"/>
          <w:szCs w:val="20"/>
          <w:color w:val="auto"/>
        </w:rPr>
        <w:tab/>
      </w:r>
      <w:r>
        <w:rPr>
          <w:rFonts w:ascii="Times New Roman" w:cs="Times New Roman" w:eastAsia="Times New Roman" w:hAnsi="Times New Roman"/>
          <w:sz w:val="21"/>
          <w:szCs w:val="21"/>
          <w:u w:val="single" w:color="auto"/>
          <w:color w:val="auto"/>
        </w:rPr>
        <w:t>Information Rights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so long as the 25% Beneficial Holding Requirement is satisfied by the Investor Parties, to the extent requested in writing by the Investor, the Company agrees promptly to provide the Investor with the same information and access to members of the Company’s management team as provided to lenders under the Credit Agreement or the Indenture (or, in each case, any replacement or refinancing thereof) or any other senior indebtedness of the Company.</w:t>
      </w:r>
    </w:p>
    <w:p>
      <w:pPr>
        <w:spacing w:after="0" w:line="149" w:lineRule="exact"/>
        <w:rPr>
          <w:rFonts w:ascii="Times New Roman" w:cs="Times New Roman" w:eastAsia="Times New Roman" w:hAnsi="Times New Roman"/>
          <w:sz w:val="21"/>
          <w:szCs w:val="21"/>
          <w:color w:val="auto"/>
        </w:rPr>
      </w:pPr>
    </w:p>
    <w:p>
      <w:pPr>
        <w:jc w:val="both"/>
        <w:ind w:firstLine="1905"/>
        <w:spacing w:after="0" w:line="216" w:lineRule="auto"/>
        <w:tabs>
          <w:tab w:leader="none" w:pos="252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Individuals associated with the Investor Parties may from time to time serve on the Board or the equivalent governing body of the Company’s Subsidiaries. The Company, on its behalf and on behalf of its Subsidiaries, recognizes that such individuals (i) will from time to time receive non-public information concerning the Company and its Subsidiaries, and (ii) may (subject to the obligation to maintain the confidentiality of such information in accordance with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share such information with other individuals associated with the Investor Parties who have a need to know such information for the purpose of facilitating support to such individuals in their capacity as members of the Board or such equivalent governing body or enabling the Investor Parties, as equityholders, to better evaluate the Company’s performance and prospects;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other individuals are informed about the confidential nature of such information and agree in writing to maintain the confidentiality of such information consistent with the confidentiality obligations under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Consent Rights</w:t>
      </w:r>
      <w:r>
        <w:rPr>
          <w:rFonts w:ascii="Times New Roman" w:cs="Times New Roman" w:eastAsia="Times New Roman" w:hAnsi="Times New Roman"/>
          <w:sz w:val="21"/>
          <w:szCs w:val="21"/>
          <w:color w:val="auto"/>
        </w:rPr>
        <w:t>. Prior to the Fall-Away of Board Rights, the Company shall not, and shall cause each of its Subsidiaries not to, take any of the following actions without the prior written consent of the holders of a majority of the then-outstanding shares of Preferred Stock:</w:t>
      </w:r>
    </w:p>
    <w:p>
      <w:pPr>
        <w:spacing w:after="0" w:line="147" w:lineRule="exact"/>
        <w:rPr>
          <w:sz w:val="20"/>
          <w:szCs w:val="20"/>
          <w:color w:val="auto"/>
        </w:rPr>
      </w:pPr>
    </w:p>
    <w:p>
      <w:pPr>
        <w:jc w:val="both"/>
        <w:ind w:firstLine="1905"/>
        <w:spacing w:after="0" w:line="222" w:lineRule="auto"/>
        <w:tabs>
          <w:tab w:leader="none" w:pos="252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actions that would result in any control share acquisition, interested stockholder, business combination or similar anti-takeover provision in the DGCL and/or the certificate of incorporation or bylaws of the Company becoming applicable to the holders of shares of Preferred Stock as a result of the issuance of the Preferred Stock, the Specified Spin-Off Transaction or any transaction related thereto, including the Company’s issuance of Common Stock upon conversion of the Preferred Stock;</w:t>
      </w:r>
    </w:p>
    <w:p>
      <w:pPr>
        <w:spacing w:after="0" w:line="149"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0"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adopt, approve or agree to adopt a stockholder rights agreement, “poison pill” or similar anti-takeover agreement or plan that is applicable to the holders of shares of Preferred Stock unless the Company has excluded the holders of shares of Preferred Stock from the definition of “acquiring person” (or such similar term) as such term is defined in such anti-takeover agreement to the extent of the holders’ beneficial ownership of shares of Preferred Stock or Common Stock;</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in the event that the corporate family rating for the Company shall be less than the following from at least two of the following three ratings agencies (immediately prior to such issuance, and with respect to the expected corporate family rating as determined by the Company in good faith after giving Pro Forma Effect to such issuance): (x) Ba2 (or the equivalent) from Moody’s (or any successor to the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65" w:right="339" w:bottom="1440" w:gutter="0" w:footer="0" w:header="0"/>
        </w:sectPr>
      </w:pPr>
    </w:p>
    <w:bookmarkStart w:id="110" w:name="page111"/>
    <w:bookmarkEnd w:id="110"/>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business thereof), (y) BB (or the equivalent) from S&amp;P (or any successor to the rating agency business thereof) and (z) BB (or the equivalent) from Fitch (or any successor to the rating agency business thereof), incur any Indebtedness for borrowed money to the extent that the Company’s Consolidated Net Total Leverage Ratio, on a Pro Forma Basis for such incurrence of such Indebtedness for borrowed money and the use of proceeds thereof, would exceed 4.75x;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right shall not apply to (I) Indebtedness, loans and advances among the Company and any of its Subsidiaries, (II) any commitments or borrowings under working capital, overdraft or liquidity facilities as in effect from time to time, (III) Indebtedness with respect to Capital Leases, (IV) to the extent constituting Indebtedness, arrangements entered into in connection with the purchase and sale of commodities and related assets, or hedging related thereto, (V) any bilateral letter of credit facilities, (VI) any borrowings under the Company’s Revolving Credit Facility or Delayed Draw Facility, (VII) other Indebtedness for borrowed money in an aggregate principal amount not to exceed $300,000,000 and (VIII) the refinancing of any existing Indebtedness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principal amount of any such refinancing Indebtedness shall not be increased from the principal amount of such Indebtedness so refinanced (other than any premium, original issue discount, accrued interest and fees and expenses incurred in connection with such refinancing);</w:t>
      </w:r>
    </w:p>
    <w:p>
      <w:pPr>
        <w:spacing w:after="0" w:line="153" w:lineRule="exact"/>
        <w:rPr>
          <w:sz w:val="20"/>
          <w:szCs w:val="20"/>
          <w:color w:val="auto"/>
        </w:rPr>
      </w:pPr>
    </w:p>
    <w:p>
      <w:pPr>
        <w:jc w:val="both"/>
        <w:ind w:firstLine="1905"/>
        <w:spacing w:after="0" w:line="225" w:lineRule="auto"/>
        <w:tabs>
          <w:tab w:leader="none" w:pos="252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 or issue any Parity Securities or Senior Securities, or amend or alter the certificate of incorporation of the Company to authorize or create, or increase the number of authorized or issued shares of, or any securities convertible into shares of, or reclassify any security into, any Parity Securities (including any increase in the number of authorized or issued shares of Preferred Stock) or Senior Securities;</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3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cause any Subsidiary to issue any Equity Securities (other than to the Company or one of its Subsidiaries and other than director qualifying shares or as otherwise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Subsidiaries may issue Equity Securities on arms’ length terms to Persons (other than an Affiliate of the Company) with which such Subsidiaries form a bona fide joint venture arrangement or strategic partnership; or</w:t>
      </w:r>
    </w:p>
    <w:p>
      <w:pPr>
        <w:spacing w:after="0" w:line="149"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to effect any voluntary deregistration of the Common Stock under the Exchange Act or any voluntary delisting with NASDAQ of the Common Stock other than in connection with a concurrent relist with another national securities exchange or a Fundamental Change pursuant to which the Company agrees to satisfy, or will otherwise cause the satisfaction, in full of its obligations under Section 7 of the Certificate of Designations or is otherwise consistent with the terms set forth in Section 7 of the Certificate of Designations.</w:t>
      </w:r>
    </w:p>
    <w:p>
      <w:pPr>
        <w:spacing w:after="0" w:line="1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Any action by the Company without the consent of holders of shares of Preferred Stock required by this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xml:space="preserve"> is expressly </w:t>
      </w:r>
      <w:r>
        <w:rPr>
          <w:rFonts w:ascii="Times New Roman" w:cs="Times New Roman" w:eastAsia="Times New Roman" w:hAnsi="Times New Roman"/>
          <w:sz w:val="21"/>
          <w:szCs w:val="21"/>
          <w:i w:val="1"/>
          <w:iCs w:val="1"/>
          <w:color w:val="auto"/>
        </w:rPr>
        <w:t xml:space="preserve">ultra vires </w:t>
      </w:r>
      <w:r>
        <w:rPr>
          <w:rFonts w:ascii="Times New Roman" w:cs="Times New Roman" w:eastAsia="Times New Roman" w:hAnsi="Times New Roman"/>
          <w:sz w:val="21"/>
          <w:szCs w:val="21"/>
          <w:color w:val="auto"/>
        </w:rPr>
        <w:t>and shall be</w:t>
      </w:r>
      <w:r>
        <w:rPr>
          <w:rFonts w:ascii="Times New Roman" w:cs="Times New Roman" w:eastAsia="Times New Roman" w:hAnsi="Times New Roman"/>
          <w:sz w:val="21"/>
          <w:szCs w:val="21"/>
          <w:i w:val="1"/>
          <w:iCs w:val="1"/>
          <w:color w:val="auto"/>
        </w:rPr>
        <w:t xml:space="preserve"> void ab initio </w:t>
      </w:r>
      <w:r>
        <w:rPr>
          <w:rFonts w:ascii="Times New Roman" w:cs="Times New Roman" w:eastAsia="Times New Roman" w:hAnsi="Times New Roman"/>
          <w:sz w:val="21"/>
          <w:szCs w:val="21"/>
          <w:color w:val="auto"/>
        </w:rPr>
        <w:t>and any action or attempted action, any contracts, amendments or other documentation thereof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related thereto are expressly null and void.</w:t>
      </w:r>
    </w:p>
    <w:p>
      <w:pPr>
        <w:spacing w:after="0" w:line="1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b w:val="1"/>
          <w:bCs w:val="1"/>
          <w:color w:val="auto"/>
        </w:rPr>
        <w:t>Survival</w:t>
      </w:r>
    </w:p>
    <w:p>
      <w:pPr>
        <w:spacing w:after="0" w:line="185"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All representations and warranties contained in this Agreement (including the schedules and the certificates delivered pursuant hereto) will survive the Closing Date, with respect to the representations and warranties made at the Closing Date until the twelve (12) month anniversary of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Fundamental Representations shall survive the Closing for forty-eight (48) months following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65" w:right="339" w:bottom="1440" w:gutter="0" w:footer="0" w:header="0"/>
        </w:sectPr>
      </w:pPr>
    </w:p>
    <w:bookmarkStart w:id="111" w:name="page112"/>
    <w:bookmarkEnd w:id="111"/>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 until the applicable survival period therefor as described above expires. Notwithstanding anything in this Agreement to the contrary, subject to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(a) in no event will the Investor Related Parties, collectively, have any liability (including damages for fraud or breach, whether willful, intentional, unintentional or otherwise (including willful breach) or monetary damages in lieu of specific performance) in the aggregate in excess of the amount of the Purchase Price, and (b) in no event will the Company Related Parties, collectively, have any liability in the aggregate in excess of the amount of the Purchase Price, except in the case of fraud.</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85"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Subject to compliance with applicable Law, this Agreement may be amended or supplemented in any and all respects only by written agreement of the parties hereto.</w:t>
      </w:r>
    </w:p>
    <w:p>
      <w:pPr>
        <w:spacing w:after="0" w:line="142"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Extension of Time, Waiver, Etc.</w:t>
      </w:r>
      <w:r>
        <w:rPr>
          <w:rFonts w:ascii="Times New Roman" w:cs="Times New Roman" w:eastAsia="Times New Roman" w:hAnsi="Times New Roman"/>
          <w:sz w:val="21"/>
          <w:szCs w:val="21"/>
          <w:color w:val="auto"/>
        </w:rPr>
        <w:t xml:space="preserve">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52"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without the prior written consent of the Company, the Investor or any Investor Party may assign its rights, interests and obligations set forth in (i) this Agreement, in whole or in part, to one or more of their Affiliates or (ii)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and, to the extent the assignment is made in connection with a Transfer of at least 15% of the then outstanding Preferred Stock (or any Common Stock issued upon conversion of such Preferred Stock), the rights, interests and obligations set forth in the Registration Rights Agreement, to a Third Party, so long as in each case of the foregoing clauses (i) and (ii), the assignee shall agree in writing to be bound by the provisions of this Agreement and, if applicable, the Registration Rights Agreement, including the rights, interests and obligations so assigned, (B) without the prior written consent of the Company, the Investor may grant a security interest in its respective rights (but not its obligations) under this Agreement in connection any Permitted Loan and (C) if the Company consolidates or merges with or into any Person and the Common Stock is, in whole or in part, converted into or exchanged for securities of a different issuer in a transaction that does not constitute a Fundamental Change, then as a condition to such transaction the Company will cause such issuer to assume all of the Company’s rights and obligations under this Agreement in a written instrument delivered to the Investor;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such assignment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65" w:right="339" w:bottom="1440" w:gutter="0" w:footer="0" w:header="0"/>
        </w:sectPr>
      </w:pPr>
    </w:p>
    <w:bookmarkStart w:id="112" w:name="page113"/>
    <w:bookmarkEnd w:id="112"/>
    <w:p>
      <w:pPr>
        <w:jc w:val="both"/>
        <w:spacing w:after="0" w:line="231" w:lineRule="auto"/>
        <w:rPr>
          <w:sz w:val="20"/>
          <w:szCs w:val="20"/>
          <w:color w:val="auto"/>
        </w:rPr>
      </w:pP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will relieve the Investor of its obligations hereunder prior to the Closing. Subject to the immediately preceding sentence, this Agreement shall be binding upon, inure to the benefit of, and be enforceable by, the parties hereto and their respective successors and permitted assigns.</w:t>
      </w:r>
    </w:p>
    <w:p>
      <w:pPr>
        <w:spacing w:after="0" w:line="147" w:lineRule="exact"/>
        <w:rPr>
          <w:sz w:val="20"/>
          <w:szCs w:val="20"/>
          <w:color w:val="auto"/>
        </w:rPr>
      </w:pPr>
    </w:p>
    <w:p>
      <w:pPr>
        <w:jc w:val="both"/>
        <w:ind w:firstLine="1905"/>
        <w:spacing w:after="0" w:line="222" w:lineRule="auto"/>
        <w:tabs>
          <w:tab w:leader="none" w:pos="252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 understands and agrees that the rights set forth under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Initial Investor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Rights</w:t>
      </w:r>
      <w:r>
        <w:rPr>
          <w:rFonts w:ascii="Times New Roman" w:cs="Times New Roman" w:eastAsia="Times New Roman" w:hAnsi="Times New Roman"/>
          <w:sz w:val="21"/>
          <w:szCs w:val="21"/>
          <w:color w:val="auto"/>
        </w:rPr>
        <w:t>”) shall inure solely to the benefit of the Investor Parties and, notwithstanding anything in this Agreement to the contrary, the Investor shall not Transfer or assign, in whole or in part, by operation of Law or otherwise, any or all of the Initial Investor Rights to any Person (other than an Affiliate as otherwise permitted by this Agreement).</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(including by facsimile or electronic mail (including pdf or any electronic signature complying with the U.S. federal ESIGN Act of 2000, e.g., www.docusign.com)),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49"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Entire Agreement; No Third-Party Beneficiaries</w:t>
      </w:r>
      <w:r>
        <w:rPr>
          <w:rFonts w:ascii="Times New Roman" w:cs="Times New Roman" w:eastAsia="Times New Roman" w:hAnsi="Times New Roman"/>
          <w:sz w:val="21"/>
          <w:szCs w:val="21"/>
          <w:color w:val="auto"/>
        </w:rPr>
        <w:t xml:space="preserve">. This Agreement, including the Company Disclosure Letter, together with the Confidentiality Agreement, the other Transaction Documents and the Certificate of Designations,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w:t>
      </w:r>
      <w:r>
        <w:rPr>
          <w:rFonts w:ascii="Times New Roman" w:cs="Times New Roman" w:eastAsia="Times New Roman" w:hAnsi="Times New Roman"/>
          <w:sz w:val="21"/>
          <w:szCs w:val="21"/>
          <w:u w:val="single" w:color="auto"/>
          <w:color w:val="auto"/>
        </w:rPr>
        <w:t>Section 5.08(j)</w:t>
      </w:r>
      <w:r>
        <w:rPr>
          <w:rFonts w:ascii="Times New Roman" w:cs="Times New Roman" w:eastAsia="Times New Roman" w:hAnsi="Times New Roman"/>
          <w:sz w:val="21"/>
          <w:szCs w:val="21"/>
          <w:color w:val="auto"/>
        </w:rPr>
        <w:t xml:space="preserve"> shall be for the benefit of and fully enforceable by each Apollo Entity and the Investor Director, (ii) each of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shall be for the benefit of and fully enforceable by each of the Apollo Funds and (ii)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xml:space="preserve"> shall be for the benefit of and fully enforceable by each of the Investor Related Parties.</w:t>
      </w:r>
    </w:p>
    <w:p>
      <w:pPr>
        <w:spacing w:after="0" w:line="152"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7.06</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31" w:lineRule="auto"/>
        <w:tabs>
          <w:tab w:leader="none" w:pos="252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46" w:lineRule="exact"/>
        <w:rPr>
          <w:rFonts w:ascii="Times New Roman" w:cs="Times New Roman" w:eastAsia="Times New Roman" w:hAnsi="Times New Roman"/>
          <w:sz w:val="21"/>
          <w:szCs w:val="21"/>
          <w:color w:val="auto"/>
        </w:rPr>
      </w:pPr>
    </w:p>
    <w:p>
      <w:pPr>
        <w:jc w:val="both"/>
        <w:ind w:firstLine="1905"/>
        <w:spacing w:after="0" w:line="215" w:lineRule="auto"/>
        <w:tabs>
          <w:tab w:leader="none" w:pos="252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Actions arising out of or relating to this Agreement shall be heard and determined in the Chancery Court of the State of Delaware (or, if the Chancery Court of the State of Delaware declines to accept jurisdiction over any Action, any state or federal court within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65" w:right="3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1"/>
          <w:szCs w:val="21"/>
          <w:color w:val="auto"/>
        </w:rPr>
        <w:t>that nothing in the foregoing shall restrict any party’s rights to seek any post-judgment relief regarding, or any appeal from, a final trial court judgment</w:t>
      </w:r>
    </w:p>
    <w:p>
      <w:pPr>
        <w:spacing w:after="0" w:line="142"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7.07 </w:t>
      </w:r>
      <w:r>
        <w:rPr>
          <w:rFonts w:ascii="Times New Roman" w:cs="Times New Roman" w:eastAsia="Times New Roman" w:hAnsi="Times New Roman"/>
          <w:sz w:val="21"/>
          <w:szCs w:val="21"/>
          <w:u w:val="single" w:color="auto"/>
          <w:color w:val="auto"/>
        </w:rPr>
        <w:t>Specific Enforcement</w:t>
      </w:r>
      <w:r>
        <w:rPr>
          <w:rFonts w:ascii="Times New Roman" w:cs="Times New Roman" w:eastAsia="Times New Roman" w:hAnsi="Times New Roman"/>
          <w:sz w:val="21"/>
          <w:szCs w:val="21"/>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seek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without proof of damages or otherwise (in each case, subject to the terms and conditions of this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this being in addition to any other remedy to which they are entitled under this Agreement and (b) the right of specific enforcement is an integral part of the Transactions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shall not be required to provide any bond or other security in connection with any such order or injunction.</w:t>
      </w:r>
    </w:p>
    <w:p>
      <w:pPr>
        <w:spacing w:after="0" w:line="15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7.08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7.09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spacing w:after="0" w:line="147" w:lineRule="exact"/>
        <w:rPr>
          <w:sz w:val="20"/>
          <w:szCs w:val="20"/>
          <w:color w:val="auto"/>
        </w:rPr>
      </w:pPr>
    </w:p>
    <w:p>
      <w:pPr>
        <w:ind w:left="2540" w:hanging="635"/>
        <w:spacing w:after="0"/>
        <w:tabs>
          <w:tab w:leader="none" w:pos="25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Company, to it at:</w:t>
      </w:r>
    </w:p>
    <w:p>
      <w:pPr>
        <w:spacing w:after="0" w:line="180" w:lineRule="exact"/>
        <w:rPr>
          <w:rFonts w:ascii="Times New Roman" w:cs="Times New Roman" w:eastAsia="Times New Roman" w:hAnsi="Times New Roman"/>
          <w:sz w:val="21"/>
          <w:szCs w:val="21"/>
          <w:color w:val="auto"/>
        </w:rPr>
      </w:pPr>
    </w:p>
    <w:p>
      <w:pPr>
        <w:ind w:left="2540" w:right="6040"/>
        <w:spacing w:after="0" w:line="22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Western Digital Corporation 5601 Great Oaks Parkway San Jose, California Attention: Chief Legal Officer Email: Michael.Ray@wdc.com</w:t>
      </w:r>
    </w:p>
    <w:p>
      <w:pPr>
        <w:spacing w:after="0" w:line="149"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65" w:right="339" w:bottom="1440" w:gutter="0" w:footer="0" w:header="0"/>
        </w:sectPr>
      </w:pPr>
    </w:p>
    <w:bookmarkStart w:id="114" w:name="page115"/>
    <w:bookmarkEnd w:id="114"/>
    <w:p>
      <w:pPr>
        <w:ind w:left="2540"/>
        <w:spacing w:after="0"/>
        <w:rPr>
          <w:sz w:val="20"/>
          <w:szCs w:val="20"/>
          <w:color w:val="auto"/>
        </w:rPr>
      </w:pPr>
      <w:r>
        <w:rPr>
          <w:rFonts w:ascii="Times New Roman" w:cs="Times New Roman" w:eastAsia="Times New Roman" w:hAnsi="Times New Roman"/>
          <w:sz w:val="21"/>
          <w:szCs w:val="21"/>
          <w:color w:val="auto"/>
        </w:rPr>
        <w:t>Skadden, Arps, Slate, Meagher &amp; Flom LLP</w:t>
      </w:r>
    </w:p>
    <w:p>
      <w:pPr>
        <w:ind w:left="2540"/>
        <w:spacing w:after="0" w:line="209" w:lineRule="auto"/>
        <w:rPr>
          <w:sz w:val="20"/>
          <w:szCs w:val="20"/>
          <w:color w:val="auto"/>
        </w:rPr>
      </w:pPr>
      <w:r>
        <w:rPr>
          <w:rFonts w:ascii="Times New Roman" w:cs="Times New Roman" w:eastAsia="Times New Roman" w:hAnsi="Times New Roman"/>
          <w:sz w:val="21"/>
          <w:szCs w:val="21"/>
          <w:color w:val="auto"/>
        </w:rPr>
        <w:t>525 University Avenue</w:t>
      </w:r>
    </w:p>
    <w:p>
      <w:pPr>
        <w:ind w:left="2540"/>
        <w:spacing w:after="0" w:line="210" w:lineRule="auto"/>
        <w:rPr>
          <w:sz w:val="20"/>
          <w:szCs w:val="20"/>
          <w:color w:val="auto"/>
        </w:rPr>
      </w:pPr>
      <w:r>
        <w:rPr>
          <w:rFonts w:ascii="Times New Roman" w:cs="Times New Roman" w:eastAsia="Times New Roman" w:hAnsi="Times New Roman"/>
          <w:sz w:val="21"/>
          <w:szCs w:val="21"/>
          <w:color w:val="auto"/>
        </w:rPr>
        <w:t>Palo Alto, CA 94301</w:t>
      </w:r>
    </w:p>
    <w:p>
      <w:pPr>
        <w:ind w:left="2540"/>
        <w:spacing w:after="0" w:line="210" w:lineRule="auto"/>
        <w:rPr>
          <w:sz w:val="20"/>
          <w:szCs w:val="20"/>
          <w:color w:val="auto"/>
        </w:rPr>
      </w:pPr>
      <w:r>
        <w:rPr>
          <w:rFonts w:ascii="Times New Roman" w:cs="Times New Roman" w:eastAsia="Times New Roman" w:hAnsi="Times New Roman"/>
          <w:sz w:val="21"/>
          <w:szCs w:val="21"/>
          <w:color w:val="auto"/>
        </w:rPr>
        <w:t>Attention: Thomas J. Ivey</w:t>
      </w:r>
    </w:p>
    <w:p>
      <w:pPr>
        <w:ind w:left="2540"/>
        <w:spacing w:after="0"/>
        <w:rPr>
          <w:sz w:val="20"/>
          <w:szCs w:val="20"/>
          <w:color w:val="auto"/>
        </w:rPr>
      </w:pPr>
      <w:r>
        <w:rPr>
          <w:rFonts w:ascii="Times New Roman" w:cs="Times New Roman" w:eastAsia="Times New Roman" w:hAnsi="Times New Roman"/>
          <w:sz w:val="21"/>
          <w:szCs w:val="21"/>
          <w:color w:val="auto"/>
        </w:rPr>
        <w:t>Email: thomas.ivey@skadden.com</w:t>
      </w:r>
    </w:p>
    <w:p>
      <w:pPr>
        <w:spacing w:after="0" w:line="157" w:lineRule="exact"/>
        <w:rPr>
          <w:sz w:val="20"/>
          <w:szCs w:val="20"/>
          <w:color w:val="auto"/>
        </w:rPr>
      </w:pPr>
    </w:p>
    <w:p>
      <w:pPr>
        <w:ind w:left="2540" w:hanging="635"/>
        <w:spacing w:after="0"/>
        <w:tabs>
          <w:tab w:leader="none" w:pos="25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Investor or any Investor Party, to the Investor at:</w:t>
      </w:r>
    </w:p>
    <w:p>
      <w:pPr>
        <w:spacing w:after="0" w:line="174"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 WD Holdings, L.P.</w:t>
      </w:r>
    </w:p>
    <w:p>
      <w:pPr>
        <w:ind w:left="2540"/>
        <w:spacing w:after="0" w:line="2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 Apollo Management X, L.P.</w:t>
      </w:r>
    </w:p>
    <w:p>
      <w:pPr>
        <w:ind w:left="2540" w:right="5800"/>
        <w:spacing w:after="0" w:line="21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 West 57th Street, 43rd Floor New York, New York 10019 Attention: Reed Rayman, Partner John Suydam, Chief Legal Officer E-mail: rrayman@apollo.com jsuydam@apollo.com</w:t>
      </w:r>
    </w:p>
    <w:p>
      <w:pPr>
        <w:spacing w:after="0" w:line="149"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to (which will not constitute notice):</w:t>
      </w:r>
    </w:p>
    <w:p>
      <w:pPr>
        <w:spacing w:after="0" w:line="180" w:lineRule="exact"/>
        <w:rPr>
          <w:rFonts w:ascii="Times New Roman" w:cs="Times New Roman" w:eastAsia="Times New Roman" w:hAnsi="Times New Roman"/>
          <w:sz w:val="21"/>
          <w:szCs w:val="21"/>
          <w:color w:val="auto"/>
        </w:rPr>
      </w:pPr>
    </w:p>
    <w:p>
      <w:pPr>
        <w:ind w:left="2540" w:right="4700"/>
        <w:spacing w:after="0" w:line="22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Paul, Weiss, Rifkind, Wharton &amp; Garrison LLP 1285 Avenue of the Americas</w:t>
      </w:r>
    </w:p>
    <w:p>
      <w:pPr>
        <w:spacing w:after="0" w:line="1" w:lineRule="exact"/>
        <w:rPr>
          <w:rFonts w:ascii="Times New Roman" w:cs="Times New Roman" w:eastAsia="Times New Roman" w:hAnsi="Times New Roman"/>
          <w:sz w:val="21"/>
          <w:szCs w:val="21"/>
          <w:color w:val="auto"/>
        </w:rPr>
      </w:pPr>
    </w:p>
    <w:p>
      <w:pPr>
        <w:ind w:left="2540"/>
        <w:spacing w:after="0" w:line="2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York, NY 10019</w:t>
      </w:r>
    </w:p>
    <w:p>
      <w:pPr>
        <w:ind w:left="2540"/>
        <w:spacing w:after="0" w:line="2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Attention: Taurie M. Zeitzer; Tracey A. Zaccone; Justin S. Rosenberg</w:t>
      </w: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Email:   tzeitzer@paulweiss.com; tzaccone@paulweiss.com; jrosenberg@paulweiss.com</w:t>
      </w:r>
    </w:p>
    <w:p>
      <w:pPr>
        <w:spacing w:after="0" w:line="1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50"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49"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Except as otherwise expressly provided herein or in any other Transaction Document, all costs and expenses, including fees and disbursements of counsel, financial advisors and accountants, incurred in connection with this Agreement and the Transactions shall be paid by the party incurring such costs and expenses;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the Closing, the Company shall (x) pay to an Affiliate of the Investor designated by the Investor prior to the Closing a one-time structuring fee (payable in cash) relating to the Transactions equal to $ 9,975,000.00 and (y) reimburse the Investor for expenses relating to the Transactions (payable in cash) in an amount equal to $3,325,000.00.</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59" w:right="339" w:bottom="1440" w:gutter="0" w:footer="0" w:header="0"/>
        </w:sectPr>
      </w:pPr>
    </w:p>
    <w:bookmarkStart w:id="115" w:name="page116"/>
    <w:bookmarkEnd w:id="115"/>
    <w:p>
      <w:pPr>
        <w:jc w:val="both"/>
        <w:ind w:firstLine="1905"/>
        <w:spacing w:after="0" w:line="211" w:lineRule="auto"/>
        <w:tabs>
          <w:tab w:leader="none" w:pos="2529"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are used in this Agreement, they shall be deemed to be followed by the words “</w:t>
      </w:r>
      <w:r>
        <w:rPr>
          <w:rFonts w:ascii="Times New Roman" w:cs="Times New Roman" w:eastAsia="Times New Roman" w:hAnsi="Times New Roman"/>
          <w:sz w:val="21"/>
          <w:szCs w:val="21"/>
          <w:u w:val="single" w:color="auto"/>
          <w:color w:val="auto"/>
        </w:rPr>
        <w:t>without limitation</w:t>
      </w:r>
      <w:r>
        <w:rPr>
          <w:rFonts w:ascii="Times New Roman" w:cs="Times New Roman" w:eastAsia="Times New Roman" w:hAnsi="Times New Roman"/>
          <w:sz w:val="21"/>
          <w:szCs w:val="21"/>
          <w:color w:val="auto"/>
        </w:rPr>
        <w:t>”. Whenever the words “</w:t>
      </w:r>
      <w:r>
        <w:rPr>
          <w:rFonts w:ascii="Times New Roman" w:cs="Times New Roman" w:eastAsia="Times New Roman" w:hAnsi="Times New Roman"/>
          <w:sz w:val="21"/>
          <w:szCs w:val="21"/>
          <w:u w:val="single" w:color="auto"/>
          <w:color w:val="auto"/>
        </w:rPr>
        <w:t>ordinary course of business</w:t>
      </w:r>
      <w:r>
        <w:rPr>
          <w:rFonts w:ascii="Times New Roman" w:cs="Times New Roman" w:eastAsia="Times New Roman" w:hAnsi="Times New Roman"/>
          <w:sz w:val="21"/>
          <w:szCs w:val="21"/>
          <w:color w:val="auto"/>
        </w:rPr>
        <w:t>” are used in this Agreement, they shall be deemed to be followed by the words “</w:t>
      </w:r>
      <w:r>
        <w:rPr>
          <w:rFonts w:ascii="Times New Roman" w:cs="Times New Roman" w:eastAsia="Times New Roman" w:hAnsi="Times New Roman"/>
          <w:sz w:val="21"/>
          <w:szCs w:val="21"/>
          <w:u w:val="single" w:color="auto"/>
          <w:color w:val="auto"/>
        </w:rPr>
        <w:t>consistent with past practice</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this Agreement shall refer to this Agreement as a whole and not to any particular provision of this Agreement unless the context requires otherwise. The words “</w:t>
      </w:r>
      <w:r>
        <w:rPr>
          <w:rFonts w:ascii="Times New Roman" w:cs="Times New Roman" w:eastAsia="Times New Roman" w:hAnsi="Times New Roman"/>
          <w:sz w:val="21"/>
          <w:szCs w:val="21"/>
          <w:u w:val="single" w:color="auto"/>
          <w:color w:val="auto"/>
        </w:rPr>
        <w:t>date hereof</w:t>
      </w:r>
      <w:r>
        <w:rPr>
          <w:rFonts w:ascii="Times New Roman" w:cs="Times New Roman" w:eastAsia="Times New Roman" w:hAnsi="Times New Roman"/>
          <w:sz w:val="21"/>
          <w:szCs w:val="21"/>
          <w:color w:val="auto"/>
        </w:rPr>
        <w:t>” when used in this Agreement shall refer to the date of this Agreement. The terms “</w:t>
      </w:r>
      <w:r>
        <w:rPr>
          <w:rFonts w:ascii="Times New Roman" w:cs="Times New Roman" w:eastAsia="Times New Roman" w:hAnsi="Times New Roman"/>
          <w:sz w:val="21"/>
          <w:szCs w:val="21"/>
          <w:u w:val="single" w:color="auto"/>
          <w:color w:val="auto"/>
        </w:rPr>
        <w:t>or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either</w:t>
      </w:r>
      <w:r>
        <w:rPr>
          <w:rFonts w:ascii="Times New Roman" w:cs="Times New Roman" w:eastAsia="Times New Roman" w:hAnsi="Times New Roman"/>
          <w:sz w:val="21"/>
          <w:szCs w:val="21"/>
          <w:color w:val="auto"/>
        </w:rPr>
        <w:t>” are not exclusive. The word “</w:t>
      </w:r>
      <w:r>
        <w:rPr>
          <w:rFonts w:ascii="Times New Roman" w:cs="Times New Roman" w:eastAsia="Times New Roman" w:hAnsi="Times New Roman"/>
          <w:sz w:val="21"/>
          <w:szCs w:val="21"/>
          <w:u w:val="single" w:color="auto"/>
          <w:color w:val="auto"/>
        </w:rPr>
        <w:t>extent</w:t>
      </w:r>
      <w:r>
        <w:rPr>
          <w:rFonts w:ascii="Times New Roman" w:cs="Times New Roman" w:eastAsia="Times New Roman" w:hAnsi="Times New Roman"/>
          <w:sz w:val="21"/>
          <w:szCs w:val="21"/>
          <w:color w:val="auto"/>
        </w:rPr>
        <w:t>” in the phrase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 extent</w:t>
      </w:r>
      <w:r>
        <w:rPr>
          <w:rFonts w:ascii="Times New Roman" w:cs="Times New Roman" w:eastAsia="Times New Roman" w:hAnsi="Times New Roman"/>
          <w:sz w:val="21"/>
          <w:szCs w:val="21"/>
          <w:color w:val="auto"/>
        </w:rPr>
        <w:t>” shall mean the degree to which a subject or other thing extends, and such phrase shall not mean simply “</w:t>
      </w:r>
      <w:r>
        <w:rPr>
          <w:rFonts w:ascii="Times New Roman" w:cs="Times New Roman" w:eastAsia="Times New Roman" w:hAnsi="Times New Roman"/>
          <w:sz w:val="21"/>
          <w:szCs w:val="21"/>
          <w:u w:val="single" w:color="auto"/>
          <w:color w:val="auto"/>
        </w:rPr>
        <w:t>if</w:t>
      </w:r>
      <w:r>
        <w:rPr>
          <w:rFonts w:ascii="Times New Roman" w:cs="Times New Roman" w:eastAsia="Times New Roman" w:hAnsi="Times New Roman"/>
          <w:sz w:val="21"/>
          <w:szCs w:val="21"/>
          <w:color w:val="auto"/>
        </w:rPr>
        <w:t>”.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shall be constructed to have the same meaning and affect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made available to the Investor</w:t>
      </w:r>
      <w:r>
        <w:rPr>
          <w:rFonts w:ascii="Times New Roman" w:cs="Times New Roman" w:eastAsia="Times New Roman" w:hAnsi="Times New Roman"/>
          <w:sz w:val="21"/>
          <w:szCs w:val="21"/>
          <w:color w:val="auto"/>
        </w:rPr>
        <w:t>” and words of similar import refer to documents (A) posted to the Intralinks Datasite for Project Wales by or on behalf of the Company or</w:t>
      </w:r>
    </w:p>
    <w:p>
      <w:pPr>
        <w:spacing w:after="0" w:line="8" w:lineRule="exact"/>
        <w:rPr>
          <w:rFonts w:ascii="Times New Roman" w:cs="Times New Roman" w:eastAsia="Times New Roman" w:hAnsi="Times New Roman"/>
          <w:sz w:val="21"/>
          <w:szCs w:val="21"/>
          <w:color w:val="auto"/>
        </w:rPr>
      </w:pPr>
    </w:p>
    <w:p>
      <w:pPr>
        <w:jc w:val="both"/>
        <w:ind w:firstLine="6"/>
        <w:spacing w:after="0" w:line="212" w:lineRule="auto"/>
        <w:tabs>
          <w:tab w:leader="none" w:pos="33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Person or electronically to the Investor or its respective Representatives, in each case no later than one (1) Business Day prior to the date hereof.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the NASDAQ, all references herein to NASDAQ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(unless, otherwise required by Law, if the last day of such period is not a Business Day, the period in question shall end on the next succeeding Business Day).</w:t>
      </w:r>
    </w:p>
    <w:p>
      <w:pPr>
        <w:spacing w:after="0" w:line="152"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50"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7.13 </w:t>
      </w:r>
      <w:r>
        <w:rPr>
          <w:rFonts w:ascii="Times New Roman" w:cs="Times New Roman" w:eastAsia="Times New Roman" w:hAnsi="Times New Roman"/>
          <w:sz w:val="21"/>
          <w:szCs w:val="21"/>
          <w:u w:val="single" w:color="auto"/>
          <w:color w:val="auto"/>
        </w:rPr>
        <w:t>Non-Recourse</w:t>
      </w:r>
      <w:r>
        <w:rPr>
          <w:rFonts w:ascii="Times New Roman" w:cs="Times New Roman" w:eastAsia="Times New Roman" w:hAnsi="Times New Roman"/>
          <w:sz w:val="21"/>
          <w:szCs w:val="21"/>
          <w:color w:val="auto"/>
        </w:rPr>
        <w:t>. Each party hereto agrees, on behalf of itself and its Affiliates and its and their present or former directors, officers, stockholders, partners, members or employees, that all Actions, claims, obligations, liabilities or causes of action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or any other Transaction Document, or any of the transactions contemplated hereunder or thereunder,</w:t>
      </w:r>
    </w:p>
    <w:p>
      <w:pPr>
        <w:spacing w:after="0" w:line="4" w:lineRule="exact"/>
        <w:rPr>
          <w:sz w:val="20"/>
          <w:szCs w:val="20"/>
          <w:color w:val="auto"/>
        </w:rPr>
      </w:pPr>
    </w:p>
    <w:p>
      <w:pPr>
        <w:ind w:firstLine="6"/>
        <w:spacing w:after="0" w:line="230" w:lineRule="auto"/>
        <w:tabs>
          <w:tab w:leader="none" w:pos="38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execution or performance of this Agreement or any of the other Transaction Documents (including any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65" w:right="339" w:bottom="1440" w:gutter="0" w:footer="0" w:header="0"/>
        </w:sectPr>
      </w:pPr>
    </w:p>
    <w:bookmarkStart w:id="116" w:name="page117"/>
    <w:bookmarkEnd w:id="116"/>
    <w:p>
      <w:pPr>
        <w:jc w:val="both"/>
        <w:spacing w:after="0" w:line="212" w:lineRule="auto"/>
        <w:rPr>
          <w:sz w:val="20"/>
          <w:szCs w:val="20"/>
          <w:color w:val="auto"/>
        </w:rPr>
      </w:pPr>
      <w:r>
        <w:rPr>
          <w:rFonts w:ascii="Times New Roman" w:cs="Times New Roman" w:eastAsia="Times New Roman" w:hAnsi="Times New Roman"/>
          <w:sz w:val="21"/>
          <w:szCs w:val="21"/>
          <w:color w:val="auto"/>
        </w:rPr>
        <w:t>made in, in connection with, or as an inducement to, this Agreement or any of the other Transaction Documents), (C) any breach or violation of this Agreement or any other of the other Transaction Documents and (D) any failure of any of the transactions contemplated hereunder or under any of the other Transaction Documents or any other agreement referenced herein or therein to be consummated, in each case, may be made only against (and are those solely of) the Persons that are, in the case of this Agreement, expressly identified as parties to this Agreement or, in the case of any of the other Transaction Documents, Persons that are expressly identified as parties to such other Transaction Documents and in accordance with, and subject to the terms and conditions of this Agreement or such other Transaction Documents, as applicable. In furtherance and not in limitation of the foregoing and notwithstanding anything contained in this Agreement or any of the other Transaction Documents to the contrary and without limiting the foregoing or any other agreement referenced herein or therein or otherwise to the contrary, each party hereto covenants, agrees and acknowledges on behalf of itself and its respective Affiliates and its and their present or former directors, officers, stockholders, partners, members or employees, that no recourse under this Agreement or any of the other Transaction Documents or in connection with any of the transactions contemplated hereunder or thereunder shall be sought or had against any other Person, including any Investor Related Party, and no other Person, including any Investor Related Party, shall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shall attach to, be imposed on or otherwise be incurred by any of the aforementioned, as such, arising under, out of, in connection with or related in any manner to the items in the immediately preceding clauses (A) through (D), in each case, except for claims that the Company or the Investor Parties, as applicable, may assert: (i) against any Person that is party to and solely pursuant to the terms and conditions of, the Confidentiality Agreement or (ii) against the Investor Parties solely in accordance with, and pursuant to the terms and conditions of, this Agreement. Notwithstanding anything to the contrary in this Agreement or any of the other Transaction Documents or otherwise, no party hereto or any Investor Related Party shall be responsible or liable for any multiple, consequential, indirect, special, statutory, exemplary or punitive damages or lost profits, opportunity costs, loss of business reputation, diminution in value or damages based upon a multiple of earnings or similar financial measure which may be alleged as a result of this Agreement or any of the other Transaction Documents or any of the transactions contemplated hereunder or thereunder, or the termination or abandonment of any of the foregoing.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65" w:right="339" w:bottom="1440" w:gutter="0" w:footer="0" w:header="0"/>
        </w:sectPr>
      </w:pPr>
    </w:p>
    <w:bookmarkStart w:id="117" w:name="page118"/>
    <w:bookmarkEnd w:id="117"/>
    <w:p>
      <w:pPr>
        <w:ind w:firstLine="1266"/>
        <w:spacing w:after="0" w:line="244"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p>
      <w:pPr>
        <w:spacing w:after="0" w:line="2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By: /s/ Wissam Jabre</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-151765</wp:posOffset>
            </wp:positionV>
            <wp:extent cx="25038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1"/>
          <w:szCs w:val="21"/>
          <w:color w:val="auto"/>
        </w:rPr>
        <w:t>Title:  Executive Vice President and Chief</w:t>
      </w:r>
    </w:p>
    <w:p>
      <w:pPr>
        <w:ind w:left="6220"/>
        <w:spacing w:after="0"/>
        <w:rPr>
          <w:sz w:val="20"/>
          <w:szCs w:val="20"/>
          <w:color w:val="auto"/>
        </w:rPr>
      </w:pPr>
      <w:r>
        <w:rPr>
          <w:rFonts w:ascii="Times New Roman" w:cs="Times New Roman" w:eastAsia="Times New Roman" w:hAnsi="Times New Roman"/>
          <w:sz w:val="21"/>
          <w:szCs w:val="2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b w:val="1"/>
          <w:bCs w:val="1"/>
          <w:color w:val="auto"/>
        </w:rPr>
        <w:t>AP WD HOLDINGS, L.P.</w:t>
      </w:r>
    </w:p>
    <w:p>
      <w:pPr>
        <w:spacing w:after="0" w:line="2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b w:val="1"/>
          <w:bCs w:val="1"/>
          <w:color w:val="auto"/>
        </w:rPr>
        <w:t>AP WD Holdings GP, LLC, its general</w:t>
      </w:r>
    </w:p>
    <w:p>
      <w:pPr>
        <w:ind w:left="5260"/>
        <w:spacing w:after="0"/>
        <w:rPr>
          <w:sz w:val="20"/>
          <w:szCs w:val="20"/>
          <w:color w:val="auto"/>
        </w:rPr>
      </w:pPr>
      <w:r>
        <w:rPr>
          <w:rFonts w:ascii="Times New Roman" w:cs="Times New Roman" w:eastAsia="Times New Roman" w:hAnsi="Times New Roman"/>
          <w:sz w:val="21"/>
          <w:szCs w:val="21"/>
          <w:b w:val="1"/>
          <w:bCs w:val="1"/>
          <w:color w:val="auto"/>
        </w:rPr>
        <w:t>By: partner</w:t>
      </w:r>
    </w:p>
    <w:p>
      <w:pPr>
        <w:spacing w:after="0" w:line="1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By: /s/ James Elworth</w:t>
      </w:r>
    </w:p>
    <w:p>
      <w:pPr>
        <w:spacing w:after="0" w:line="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-151765</wp:posOffset>
            </wp:positionV>
            <wp:extent cx="25038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250380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365"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1"/>
          <w:szCs w:val="21"/>
          <w:b w:val="1"/>
          <w:bCs w:val="1"/>
          <w:color w:val="auto"/>
        </w:rPr>
        <w:t>Annex I</w:t>
      </w:r>
    </w:p>
    <w:p>
      <w:pPr>
        <w:spacing w:after="0" w:line="20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1"/>
          <w:szCs w:val="21"/>
          <w:color w:val="auto"/>
        </w:rPr>
        <w:t>The definition of “</w:t>
      </w:r>
      <w:r>
        <w:rPr>
          <w:rFonts w:ascii="Times New Roman" w:cs="Times New Roman" w:eastAsia="Times New Roman" w:hAnsi="Times New Roman"/>
          <w:sz w:val="21"/>
          <w:szCs w:val="21"/>
          <w:b w:val="1"/>
          <w:bCs w:val="1"/>
          <w:color w:val="auto"/>
        </w:rPr>
        <w:t>Spin-Co FMV</w:t>
      </w:r>
      <w:r>
        <w:rPr>
          <w:rFonts w:ascii="Times New Roman" w:cs="Times New Roman" w:eastAsia="Times New Roman" w:hAnsi="Times New Roman"/>
          <w:sz w:val="21"/>
          <w:szCs w:val="21"/>
          <w:color w:val="auto"/>
        </w:rPr>
        <w:t>” to be set forth in the Certificate of Designations with respect to the SpinCo Preferred Stock shall be amended as follows:</w:t>
      </w:r>
    </w:p>
    <w:p>
      <w:pPr>
        <w:spacing w:after="0" w:line="16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“Spin-Co FMV” </w:t>
      </w:r>
      <w:r>
        <w:rPr>
          <w:rFonts w:ascii="Times New Roman" w:cs="Times New Roman" w:eastAsia="Times New Roman" w:hAnsi="Times New Roman"/>
          <w:sz w:val="21"/>
          <w:szCs w:val="21"/>
          <w:color w:val="auto"/>
        </w:rPr>
        <w:t>means the average of the Daily VWAP of a Spin-Off Transaction Share over the twenty (20) consecutive Trading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Days immediately following but including the Spin-Off Ex-Dividend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the ratio of Spin-Off Transaction Shares to Common Stock (the “</w:t>
      </w:r>
      <w:r>
        <w:rPr>
          <w:rFonts w:ascii="Times New Roman" w:cs="Times New Roman" w:eastAsia="Times New Roman" w:hAnsi="Times New Roman"/>
          <w:sz w:val="21"/>
          <w:szCs w:val="21"/>
          <w:b w:val="1"/>
          <w:bCs w:val="1"/>
          <w:color w:val="auto"/>
        </w:rPr>
        <w:t>Spin-Off Ratio</w:t>
      </w:r>
      <w:r>
        <w:rPr>
          <w:rFonts w:ascii="Times New Roman" w:cs="Times New Roman" w:eastAsia="Times New Roman" w:hAnsi="Times New Roman"/>
          <w:sz w:val="21"/>
          <w:szCs w:val="21"/>
          <w:color w:val="auto"/>
        </w:rPr>
        <w:t xml:space="preserve">”) is not 1:1 in connection with a Specified Spin-Off Transaction </w:t>
      </w:r>
      <w:r>
        <w:rPr>
          <w:rFonts w:ascii="Times New Roman" w:cs="Times New Roman" w:eastAsia="Times New Roman" w:hAnsi="Times New Roman"/>
          <w:sz w:val="21"/>
          <w:szCs w:val="21"/>
          <w:u w:val="single" w:color="auto"/>
          <w:color w:val="auto"/>
        </w:rPr>
        <w:t>or a Standalone 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Spin-Off Transaction</w:t>
      </w:r>
      <w:r>
        <w:rPr>
          <w:rFonts w:ascii="Times New Roman" w:cs="Times New Roman" w:eastAsia="Times New Roman" w:hAnsi="Times New Roman"/>
          <w:sz w:val="21"/>
          <w:szCs w:val="21"/>
          <w:color w:val="auto"/>
        </w:rPr>
        <w:t xml:space="preserve">, then the Spin-Co FMV used to calculate the Spin-Off Transaction Adjustment Ratio </w:t>
      </w:r>
      <w:r>
        <w:rPr>
          <w:rFonts w:ascii="Times New Roman" w:cs="Times New Roman" w:eastAsia="Times New Roman" w:hAnsi="Times New Roman"/>
          <w:sz w:val="21"/>
          <w:szCs w:val="21"/>
          <w:u w:val="single" w:color="auto"/>
          <w:color w:val="auto"/>
        </w:rPr>
        <w:t>or the Spin-Co Spin-Off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 Adjustment Ratio, as applicable,</w:t>
      </w:r>
      <w:r>
        <w:rPr>
          <w:rFonts w:ascii="Times New Roman" w:cs="Times New Roman" w:eastAsia="Times New Roman" w:hAnsi="Times New Roman"/>
          <w:sz w:val="21"/>
          <w:szCs w:val="21"/>
          <w:color w:val="auto"/>
        </w:rPr>
        <w:t xml:space="preserve"> will be multiplied by the Spin-Off Ratio.</w:t>
      </w:r>
    </w:p>
    <w:p>
      <w:pPr>
        <w:sectPr>
          <w:pgSz w:w="11900" w:h="16838" w:orient="portrait"/>
          <w:cols w:equalWidth="0" w:num="1">
            <w:col w:w="11240"/>
          </w:cols>
          <w:pgMar w:left="320" w:top="136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INVESTMENT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ELLIOTT ASSOCIATES, 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ELLIOTT INTERNATIONAL, 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Dated as of January 31, 2023</w:t>
      </w:r>
    </w:p>
    <w:p>
      <w:pPr>
        <w:spacing w:after="0" w:line="200" w:lineRule="exact"/>
        <w:rPr>
          <w:sz w:val="20"/>
          <w:szCs w:val="20"/>
          <w:color w:val="auto"/>
        </w:rPr>
      </w:pPr>
    </w:p>
    <w:p>
      <w:pPr>
        <w:spacing w:after="0" w:line="222"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21"/>
          <w:szCs w:val="21"/>
          <w:color w:val="auto"/>
        </w:rPr>
        <w:t>THIS DOCUMENT IS INTENDED SOLELY TO FACILITATE DISCUSSIONS BETWEEN THE PARTIES. IT IS NOT INTENDED TO CREATE, AND WILL NOT BE DEEMED TO CREATE, A LEGALLY BINDING OR ENFORCEABLE OFFER OR AGREEMENT OF ANY TYPE OR NATURE PRIOR TO THE DULY AUTHORIZED AND APPROVED EXECUTION OF THIS DOCUMENT BY EACH OF THE PARTIES AND THE DELIVERY OF AN EXECUTED COPY BY EACH OF THE PARTIES.</w:t>
      </w:r>
    </w:p>
    <w:p>
      <w:pPr>
        <w:sectPr>
          <w:pgSz w:w="11900" w:h="16838" w:orient="portrait"/>
          <w:cols w:equalWidth="0" w:num="1">
            <w:col w:w="11240"/>
          </w:cols>
          <w:pgMar w:left="320" w:top="94" w:right="339" w:bottom="1440" w:gutter="0" w:footer="0" w:header="0"/>
        </w:sectPr>
      </w:pPr>
    </w:p>
    <w:bookmarkStart w:id="120" w:name="page121"/>
    <w:bookmarkEnd w:id="120"/>
    <w:p>
      <w:pPr>
        <w:jc w:val="center"/>
        <w:ind w:left="11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u w:val="single" w:color="auto"/>
          <w:color w:val="0000FF"/>
        </w:rPr>
        <w:t>ARTICLE I</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u w:val="single" w:color="auto"/>
          <w:color w:val="0000FF"/>
        </w:rPr>
        <w:t>Definitions</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1.01</w:t>
        <w:tab/>
        <w:t>Definitions</w:t>
      </w:r>
    </w:p>
    <w:p>
      <w:pPr>
        <w:spacing w:after="0" w:line="3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ARTICLE II</w:t>
      </w:r>
    </w:p>
    <w:p>
      <w:pPr>
        <w:spacing w:after="0" w:line="18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Purchase and Sale</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2.01</w:t>
        <w:tab/>
        <w:t>Purchase and Sale</w:t>
      </w:r>
    </w:p>
    <w:p>
      <w:pPr>
        <w:spacing w:after="0" w:line="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2.02</w:t>
        <w:tab/>
        <w:t>Closing</w:t>
      </w:r>
    </w:p>
    <w:p>
      <w:pPr>
        <w:spacing w:after="0" w:line="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ARTICLE III</w:t>
      </w:r>
    </w:p>
    <w:p>
      <w:pPr>
        <w:spacing w:after="0" w:line="18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1"/>
          <w:szCs w:val="21"/>
          <w:u w:val="single" w:color="auto"/>
          <w:color w:val="0000FF"/>
        </w:rPr>
        <w:t>Representations and Warranties of the Company</w:t>
      </w:r>
    </w:p>
    <w:p>
      <w:pPr>
        <w:spacing w:after="0" w:line="3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3.01</w:t>
        <w:tab/>
        <w:t>Organization; Standing</w:t>
      </w:r>
    </w:p>
    <w:p>
      <w:pPr>
        <w:spacing w:after="0" w:line="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3.02</w:t>
        <w:tab/>
        <w:t>Capitalization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3.03</w:t>
        <w:tab/>
        <w:t>Authority; Non-contravention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3.04</w:t>
        <w:tab/>
        <w:t>Governmental Approvals</w:t>
      </w:r>
    </w:p>
    <w:p>
      <w:pPr>
        <w:spacing w:after="0" w:line="49" w:lineRule="exact"/>
        <w:rPr>
          <w:sz w:val="20"/>
          <w:szCs w:val="20"/>
          <w:color w:val="auto"/>
        </w:rPr>
      </w:pPr>
    </w:p>
    <w:p>
      <w:pPr>
        <w:ind w:right="4400"/>
        <w:spacing w:after="0" w:line="288" w:lineRule="auto"/>
        <w:rPr>
          <w:sz w:val="20"/>
          <w:szCs w:val="20"/>
          <w:color w:val="auto"/>
        </w:rPr>
      </w:pPr>
      <w:r>
        <w:rPr>
          <w:rFonts w:ascii="Times New Roman" w:cs="Times New Roman" w:eastAsia="Times New Roman" w:hAnsi="Times New Roman"/>
          <w:sz w:val="21"/>
          <w:szCs w:val="21"/>
          <w:u w:val="single" w:color="auto"/>
          <w:color w:val="0000FF"/>
        </w:rPr>
        <w:t>Section 3.05 Company SEC Documents; Undisclosed Liabilities Section 3.06 Absence of Certain Changes Section 3.07 Legal Proceedings</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3.08</w:t>
        <w:tab/>
        <w:t>Compliance with Laws; Permits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3.09</w:t>
        <w:tab/>
        <w:t>Contracts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3.10</w:t>
      </w:r>
      <w:r>
        <w:rPr>
          <w:sz w:val="20"/>
          <w:szCs w:val="20"/>
          <w:color w:val="auto"/>
        </w:rPr>
        <w:tab/>
      </w:r>
      <w:r>
        <w:rPr>
          <w:rFonts w:ascii="Times New Roman" w:cs="Times New Roman" w:eastAsia="Times New Roman" w:hAnsi="Times New Roman"/>
          <w:sz w:val="20"/>
          <w:szCs w:val="20"/>
          <w:u w:val="single" w:color="auto"/>
          <w:color w:val="0000FF"/>
        </w:rPr>
        <w:t>Tax Matters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3.11</w:t>
        <w:tab/>
        <w:t>Real Property Holding Corporation</w:t>
      </w:r>
    </w:p>
    <w:p>
      <w:pPr>
        <w:spacing w:after="0" w:line="49" w:lineRule="exact"/>
        <w:rPr>
          <w:sz w:val="20"/>
          <w:szCs w:val="20"/>
          <w:color w:val="auto"/>
        </w:rPr>
      </w:pPr>
    </w:p>
    <w:p>
      <w:pPr>
        <w:ind w:right="4600"/>
        <w:spacing w:after="0" w:line="288" w:lineRule="auto"/>
        <w:rPr>
          <w:sz w:val="20"/>
          <w:szCs w:val="20"/>
          <w:color w:val="auto"/>
        </w:rPr>
      </w:pPr>
      <w:r>
        <w:rPr>
          <w:rFonts w:ascii="Times New Roman" w:cs="Times New Roman" w:eastAsia="Times New Roman" w:hAnsi="Times New Roman"/>
          <w:sz w:val="21"/>
          <w:szCs w:val="21"/>
          <w:u w:val="single" w:color="auto"/>
          <w:color w:val="0000FF"/>
        </w:rPr>
        <w:t>Section 3.12 No Rights Agreement; Anti-Takeover Provisions Section 3.13 Brokers and Other Advisors Section 3.14 Employee Benefit Plans</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3.15</w:t>
        <w:tab/>
        <w:t>Labor Matters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3.16</w:t>
        <w:tab/>
        <w:t>Sale of Securities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3.17</w:t>
        <w:tab/>
        <w:t>Listing and Maintenance Requirements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3.18</w:t>
        <w:tab/>
        <w:t>Status of Securities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3.19</w:t>
        <w:tab/>
        <w:t>NASDAQ Notification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3.20</w:t>
        <w:tab/>
        <w:t>Indebtedness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3.21</w:t>
        <w:tab/>
        <w:t>Real Property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3.22</w:t>
        <w:tab/>
        <w:t>Intellectual Property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3.23</w:t>
        <w:tab/>
        <w:t>Data Security; Privacy</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3.24</w:t>
        <w:tab/>
        <w:t>Affiliate Transactions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3.25</w:t>
        <w:tab/>
        <w:t>Apollo Transaction Documents</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3.26</w:t>
      </w:r>
      <w:r>
        <w:rPr>
          <w:sz w:val="20"/>
          <w:szCs w:val="20"/>
          <w:color w:val="auto"/>
        </w:rPr>
        <w:tab/>
      </w:r>
      <w:r>
        <w:rPr>
          <w:rFonts w:ascii="Times New Roman" w:cs="Times New Roman" w:eastAsia="Times New Roman" w:hAnsi="Times New Roman"/>
          <w:sz w:val="20"/>
          <w:szCs w:val="20"/>
          <w:u w:val="single" w:color="auto"/>
          <w:color w:val="0000FF"/>
        </w:rPr>
        <w:t>No Other Representations or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200" w:lineRule="exact"/>
        <w:rPr>
          <w:sz w:val="20"/>
          <w:szCs w:val="20"/>
          <w:color w:val="auto"/>
        </w:rPr>
      </w:pPr>
    </w:p>
    <w:p>
      <w:pPr>
        <w:sectPr>
          <w:pgSz w:w="11900" w:h="16838" w:orient="portrait"/>
          <w:cols w:equalWidth="0" w:num="2">
            <w:col w:w="9960" w:space="720"/>
            <w:col w:w="480"/>
          </w:cols>
          <w:pgMar w:left="400" w:top="1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400" w:top="1361" w:right="339" w:bottom="1440" w:gutter="0" w:footer="0" w:header="0"/>
          <w:type w:val="continuous"/>
        </w:sectPr>
      </w:pPr>
    </w:p>
    <w:bookmarkStart w:id="121" w:name="page122"/>
    <w:bookmarkEnd w:id="121"/>
    <w:p>
      <w:pPr>
        <w:jc w:val="center"/>
        <w:ind w:left="98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jc w:val="center"/>
        <w:ind w:left="980"/>
        <w:spacing w:after="0"/>
        <w:rPr>
          <w:sz w:val="20"/>
          <w:szCs w:val="20"/>
          <w:color w:val="auto"/>
        </w:rPr>
      </w:pPr>
      <w:r>
        <w:rPr>
          <w:rFonts w:ascii="Times New Roman" w:cs="Times New Roman" w:eastAsia="Times New Roman" w:hAnsi="Times New Roman"/>
          <w:sz w:val="21"/>
          <w:szCs w:val="21"/>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580" w:type="dxa"/>
            <w:vAlign w:val="bottom"/>
            <w:gridSpan w:val="2"/>
          </w:tcPr>
          <w:p>
            <w:pPr>
              <w:jc w:val="center"/>
              <w:ind w:right="1440"/>
              <w:spacing w:after="0"/>
              <w:rPr>
                <w:sz w:val="20"/>
                <w:szCs w:val="20"/>
                <w:color w:val="auto"/>
              </w:rPr>
            </w:pPr>
            <w:r>
              <w:rPr>
                <w:rFonts w:ascii="Times New Roman" w:cs="Times New Roman" w:eastAsia="Times New Roman" w:hAnsi="Times New Roman"/>
                <w:sz w:val="21"/>
                <w:szCs w:val="21"/>
                <w:color w:val="0000FF"/>
                <w:w w:val="98"/>
              </w:rPr>
              <w:t>ARTICLE IV</w:t>
            </w: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21"/>
                <w:szCs w:val="21"/>
                <w:color w:val="0000FF"/>
                <w:w w:val="99"/>
              </w:rPr>
              <w:t>Representations and Warranties of the Investors</w:t>
            </w: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4.01</w:t>
            </w:r>
          </w:p>
        </w:tc>
        <w:tc>
          <w:tcPr>
            <w:tcW w:w="180" w:type="dxa"/>
            <w:vAlign w:val="bottom"/>
          </w:tcPr>
          <w:p>
            <w:pPr>
              <w:spacing w:after="0"/>
              <w:rPr>
                <w:sz w:val="21"/>
                <w:szCs w:val="21"/>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Organization; Standing</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4.02</w:t>
            </w:r>
          </w:p>
        </w:tc>
        <w:tc>
          <w:tcPr>
            <w:tcW w:w="180" w:type="dxa"/>
            <w:vAlign w:val="bottom"/>
          </w:tcPr>
          <w:p>
            <w:pPr>
              <w:spacing w:after="0"/>
              <w:rPr>
                <w:sz w:val="23"/>
                <w:szCs w:val="23"/>
                <w:color w:val="auto"/>
              </w:rPr>
            </w:pPr>
          </w:p>
        </w:tc>
        <w:tc>
          <w:tcPr>
            <w:tcW w:w="2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1"/>
                <w:szCs w:val="21"/>
                <w:color w:val="0000FF"/>
              </w:rPr>
              <w:t>Authority; Non-contravention</w:t>
            </w:r>
          </w:p>
        </w:tc>
        <w:tc>
          <w:tcPr>
            <w:tcW w:w="3520" w:type="dxa"/>
            <w:vAlign w:val="bottom"/>
            <w:gridSpan w:val="3"/>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4.03</w:t>
            </w:r>
          </w:p>
        </w:tc>
        <w:tc>
          <w:tcPr>
            <w:tcW w:w="180" w:type="dxa"/>
            <w:vAlign w:val="bottom"/>
          </w:tcPr>
          <w:p>
            <w:pPr>
              <w:spacing w:after="0"/>
              <w:rPr>
                <w:sz w:val="23"/>
                <w:szCs w:val="23"/>
                <w:color w:val="auto"/>
              </w:rPr>
            </w:pPr>
          </w:p>
        </w:tc>
        <w:tc>
          <w:tcPr>
            <w:tcW w:w="6060" w:type="dxa"/>
            <w:vAlign w:val="bottom"/>
            <w:gridSpan w:val="8"/>
          </w:tcPr>
          <w:p>
            <w:pPr>
              <w:spacing w:after="0"/>
              <w:rPr>
                <w:sz w:val="20"/>
                <w:szCs w:val="20"/>
                <w:color w:val="auto"/>
              </w:rPr>
            </w:pPr>
            <w:r>
              <w:rPr>
                <w:rFonts w:ascii="Times New Roman" w:cs="Times New Roman" w:eastAsia="Times New Roman" w:hAnsi="Times New Roman"/>
                <w:sz w:val="21"/>
                <w:szCs w:val="21"/>
                <w:color w:val="0000FF"/>
              </w:rPr>
              <w:t>Governmental Approvals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0"/>
        </w:trPr>
        <w:tc>
          <w:tcPr>
            <w:tcW w:w="10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4.04</w:t>
            </w:r>
          </w:p>
        </w:tc>
        <w:tc>
          <w:tcPr>
            <w:tcW w:w="180" w:type="dxa"/>
            <w:vAlign w:val="bottom"/>
          </w:tcPr>
          <w:p>
            <w:pPr>
              <w:spacing w:after="0"/>
              <w:rPr>
                <w:sz w:val="23"/>
                <w:szCs w:val="23"/>
                <w:color w:val="auto"/>
              </w:rPr>
            </w:pPr>
          </w:p>
        </w:tc>
        <w:tc>
          <w:tcPr>
            <w:tcW w:w="23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1"/>
                <w:szCs w:val="21"/>
                <w:color w:val="0000FF"/>
                <w:w w:val="99"/>
              </w:rPr>
              <w:t>Brokers and Other Advisors</w:t>
            </w:r>
          </w:p>
        </w:tc>
        <w:tc>
          <w:tcPr>
            <w:tcW w:w="3680" w:type="dxa"/>
            <w:vAlign w:val="bottom"/>
            <w:gridSpan w:val="4"/>
          </w:tcPr>
          <w:p>
            <w:pPr>
              <w:spacing w:after="0"/>
              <w:rPr>
                <w:sz w:val="23"/>
                <w:szCs w:val="23"/>
                <w:color w:val="auto"/>
              </w:rPr>
            </w:pPr>
          </w:p>
        </w:tc>
      </w:tr>
    </w:tbl>
    <w:p>
      <w:pPr>
        <w:spacing w:after="0" w:line="5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4.05</w:t>
        <w:tab/>
        <w:t>Purchase for Investment</w:t>
      </w:r>
    </w:p>
    <w:p>
      <w:pPr>
        <w:spacing w:after="0" w:line="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u w:val="single" w:color="auto"/>
          <w:color w:val="0000FF"/>
        </w:rPr>
        <w:t>Section 4.06 Non-Reliance on Company Estimates, Projections, Forecasts, Forward-Looking Statements and Business Plans</w:t>
      </w: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4.07</w:t>
        <w:tab/>
        <w:t>Financial Advisor</w:t>
      </w:r>
    </w:p>
    <w:p>
      <w:pPr>
        <w:spacing w:after="0" w:line="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4.08</w:t>
        <w:tab/>
        <w:t>Big Boy Representation</w:t>
      </w:r>
    </w:p>
    <w:p>
      <w:pPr>
        <w:spacing w:after="0" w:line="4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1"/>
          <w:szCs w:val="21"/>
          <w:u w:val="single" w:color="auto"/>
          <w:color w:val="0000FF"/>
        </w:rPr>
        <w:t>Section 4.09</w:t>
      </w:r>
      <w:r>
        <w:rPr>
          <w:sz w:val="20"/>
          <w:szCs w:val="20"/>
          <w:color w:val="auto"/>
        </w:rPr>
        <w:tab/>
      </w:r>
      <w:r>
        <w:rPr>
          <w:rFonts w:ascii="Times New Roman" w:cs="Times New Roman" w:eastAsia="Times New Roman" w:hAnsi="Times New Roman"/>
          <w:sz w:val="20"/>
          <w:szCs w:val="20"/>
          <w:u w:val="single" w:color="auto"/>
          <w:color w:val="0000FF"/>
        </w:rPr>
        <w:t>No Other Representations or Warranties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gridSpan w:val="7"/>
          </w:tcPr>
          <w:p>
            <w:pPr>
              <w:jc w:val="center"/>
              <w:ind w:right="460"/>
              <w:spacing w:after="0"/>
              <w:rPr>
                <w:sz w:val="20"/>
                <w:szCs w:val="20"/>
                <w:color w:val="auto"/>
              </w:rPr>
            </w:pPr>
            <w:r>
              <w:rPr>
                <w:rFonts w:ascii="Times New Roman" w:cs="Times New Roman" w:eastAsia="Times New Roman" w:hAnsi="Times New Roman"/>
                <w:sz w:val="21"/>
                <w:szCs w:val="21"/>
                <w:color w:val="0000FF"/>
                <w:w w:val="98"/>
              </w:rPr>
              <w:t>ARTICLE V</w:t>
            </w: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Borders>
              <w:bottom w:val="single" w:sz="8" w:color="0000FF"/>
            </w:tcBorders>
            <w:gridSpan w:val="11"/>
          </w:tcPr>
          <w:p>
            <w:pPr>
              <w:jc w:val="center"/>
              <w:spacing w:after="0"/>
              <w:rPr>
                <w:sz w:val="20"/>
                <w:szCs w:val="20"/>
                <w:color w:val="auto"/>
              </w:rPr>
            </w:pPr>
            <w:r>
              <w:rPr>
                <w:rFonts w:ascii="Times New Roman" w:cs="Times New Roman" w:eastAsia="Times New Roman" w:hAnsi="Times New Roman"/>
                <w:sz w:val="21"/>
                <w:szCs w:val="21"/>
                <w:color w:val="0000FF"/>
              </w:rPr>
              <w:t>Additional Agreements</w:t>
            </w:r>
          </w:p>
        </w:tc>
      </w:tr>
      <w:tr>
        <w:trPr>
          <w:trHeight w:val="244"/>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5.01  Reasonable Best Efforts; Filings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5.02</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Corporate Actions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5.03</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Public Disclosure</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5.04</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Confidentiality</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5.05</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Standstill</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5.06</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Transfer Restrictions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5.07</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Legend</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5.08</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Blocker Provisions.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5.09</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Tax Matters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5.10  Spin-Off Matters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5.11  Use of Proceeds</w:t>
            </w:r>
          </w:p>
        </w:tc>
      </w:tr>
      <w:tr>
        <w:trPr>
          <w:trHeight w:val="270"/>
        </w:trPr>
        <w:tc>
          <w:tcPr>
            <w:tcW w:w="1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1"/>
                <w:szCs w:val="21"/>
                <w:color w:val="0000FF"/>
                <w:w w:val="97"/>
              </w:rPr>
              <w:t>Section 5.12</w:t>
            </w:r>
          </w:p>
        </w:tc>
        <w:tc>
          <w:tcPr>
            <w:tcW w:w="180" w:type="dxa"/>
            <w:vAlign w:val="bottom"/>
          </w:tcPr>
          <w:p>
            <w:pPr>
              <w:spacing w:after="0"/>
              <w:rPr>
                <w:sz w:val="23"/>
                <w:szCs w:val="23"/>
                <w:color w:val="auto"/>
              </w:rPr>
            </w:pPr>
          </w:p>
        </w:tc>
        <w:tc>
          <w:tcPr>
            <w:tcW w:w="13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1"/>
                <w:szCs w:val="21"/>
                <w:color w:val="0000FF"/>
              </w:rPr>
              <w:t>DTC Eligibility</w:t>
            </w:r>
          </w:p>
        </w:tc>
        <w:tc>
          <w:tcPr>
            <w:tcW w:w="3680" w:type="dxa"/>
            <w:vAlign w:val="bottom"/>
            <w:gridSpan w:val="20"/>
          </w:tcPr>
          <w:p>
            <w:pPr>
              <w:spacing w:after="0"/>
              <w:rPr>
                <w:sz w:val="23"/>
                <w:szCs w:val="23"/>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5.13</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Financing Cooperation</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5.14  State Securities Laws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5.15</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Participation Rights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5.16  Section 16 Matters</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5.17</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Information Rights</w:t>
            </w:r>
          </w:p>
        </w:tc>
      </w:tr>
      <w:tr>
        <w:trPr>
          <w:trHeight w:val="270"/>
        </w:trPr>
        <w:tc>
          <w:tcPr>
            <w:tcW w:w="10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gridSpan w:val="9"/>
          </w:tcPr>
          <w:p>
            <w:pPr>
              <w:jc w:val="center"/>
              <w:ind w:right="400"/>
              <w:spacing w:after="0"/>
              <w:rPr>
                <w:sz w:val="20"/>
                <w:szCs w:val="20"/>
                <w:color w:val="auto"/>
              </w:rPr>
            </w:pPr>
            <w:r>
              <w:rPr>
                <w:rFonts w:ascii="Times New Roman" w:cs="Times New Roman" w:eastAsia="Times New Roman" w:hAnsi="Times New Roman"/>
                <w:sz w:val="21"/>
                <w:szCs w:val="21"/>
                <w:color w:val="0000FF"/>
                <w:w w:val="98"/>
              </w:rPr>
              <w:t>ARTICLE VI</w:t>
            </w: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gridSpan w:val="3"/>
          </w:tcPr>
          <w:p>
            <w:pPr>
              <w:jc w:val="center"/>
              <w:ind w:right="220"/>
              <w:spacing w:after="0"/>
              <w:rPr>
                <w:sz w:val="20"/>
                <w:szCs w:val="20"/>
                <w:color w:val="auto"/>
              </w:rPr>
            </w:pPr>
            <w:r>
              <w:rPr>
                <w:rFonts w:ascii="Times New Roman" w:cs="Times New Roman" w:eastAsia="Times New Roman" w:hAnsi="Times New Roman"/>
                <w:sz w:val="21"/>
                <w:szCs w:val="21"/>
                <w:color w:val="0000FF"/>
              </w:rPr>
              <w:t>Survival</w:t>
            </w:r>
          </w:p>
        </w:tc>
        <w:tc>
          <w:tcPr>
            <w:tcW w:w="420" w:type="dxa"/>
            <w:vAlign w:val="bottom"/>
            <w:gridSpan w:val="3"/>
          </w:tcPr>
          <w:p>
            <w:pPr>
              <w:spacing w:after="0"/>
              <w:rPr>
                <w:sz w:val="24"/>
                <w:szCs w:val="24"/>
                <w:color w:val="auto"/>
              </w:rPr>
            </w:pP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6.01</w:t>
            </w:r>
          </w:p>
        </w:tc>
        <w:tc>
          <w:tcPr>
            <w:tcW w:w="180" w:type="dxa"/>
            <w:vAlign w:val="bottom"/>
          </w:tcPr>
          <w:p>
            <w:pPr>
              <w:spacing w:after="0"/>
              <w:rPr>
                <w:sz w:val="21"/>
                <w:szCs w:val="21"/>
                <w:color w:val="auto"/>
              </w:rPr>
            </w:pPr>
          </w:p>
        </w:tc>
        <w:tc>
          <w:tcPr>
            <w:tcW w:w="3680" w:type="dxa"/>
            <w:vAlign w:val="bottom"/>
            <w:gridSpan w:val="21"/>
          </w:tcPr>
          <w:p>
            <w:pPr>
              <w:spacing w:after="0"/>
              <w:rPr>
                <w:sz w:val="20"/>
                <w:szCs w:val="20"/>
                <w:color w:val="auto"/>
              </w:rPr>
            </w:pPr>
            <w:r>
              <w:rPr>
                <w:rFonts w:ascii="Times New Roman" w:cs="Times New Roman" w:eastAsia="Times New Roman" w:hAnsi="Times New Roman"/>
                <w:sz w:val="21"/>
                <w:szCs w:val="21"/>
                <w:color w:val="0000FF"/>
              </w:rPr>
              <w:t>Survival</w:t>
            </w:r>
          </w:p>
        </w:tc>
        <w:tc>
          <w:tcPr>
            <w:tcW w:w="720" w:type="dxa"/>
            <w:vAlign w:val="bottom"/>
            <w:tcBorders>
              <w:top w:val="single" w:sz="8" w:color="0000FF"/>
            </w:tcBorders>
          </w:tcPr>
          <w:p>
            <w:pPr>
              <w:spacing w:after="0"/>
              <w:rPr>
                <w:sz w:val="21"/>
                <w:szCs w:val="21"/>
                <w:color w:val="auto"/>
              </w:rPr>
            </w:pPr>
          </w:p>
        </w:tc>
        <w:tc>
          <w:tcPr>
            <w:tcW w:w="640" w:type="dxa"/>
            <w:vAlign w:val="bottom"/>
            <w:gridSpan w:val="5"/>
          </w:tcPr>
          <w:p>
            <w:pPr>
              <w:spacing w:after="0"/>
              <w:rPr>
                <w:sz w:val="21"/>
                <w:szCs w:val="21"/>
                <w:color w:val="auto"/>
              </w:rPr>
            </w:pPr>
          </w:p>
        </w:tc>
      </w:tr>
      <w:tr>
        <w:trPr>
          <w:trHeight w:val="270"/>
        </w:trPr>
        <w:tc>
          <w:tcPr>
            <w:tcW w:w="1040" w:type="dxa"/>
            <w:vAlign w:val="bottom"/>
            <w:tcBorders>
              <w:top w:val="single" w:sz="8" w:color="0000FF"/>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Borders>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21"/>
                <w:szCs w:val="21"/>
                <w:color w:val="0000FF"/>
                <w:w w:val="99"/>
              </w:rPr>
              <w:t>ARTICLE VII</w:t>
            </w:r>
          </w:p>
        </w:tc>
        <w:tc>
          <w:tcPr>
            <w:tcW w:w="360" w:type="dxa"/>
            <w:vAlign w:val="bottom"/>
          </w:tcPr>
          <w:p>
            <w:pPr>
              <w:spacing w:after="0"/>
              <w:rPr>
                <w:sz w:val="23"/>
                <w:szCs w:val="23"/>
                <w:color w:val="auto"/>
              </w:rPr>
            </w:pPr>
          </w:p>
        </w:tc>
      </w:tr>
      <w:tr>
        <w:trPr>
          <w:trHeight w:val="402"/>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10"/>
          </w:tcPr>
          <w:p>
            <w:pPr>
              <w:jc w:val="center"/>
              <w:ind w:right="380"/>
              <w:spacing w:after="0"/>
              <w:rPr>
                <w:sz w:val="20"/>
                <w:szCs w:val="20"/>
                <w:color w:val="auto"/>
              </w:rPr>
            </w:pPr>
            <w:r>
              <w:rPr>
                <w:rFonts w:ascii="Times New Roman" w:cs="Times New Roman" w:eastAsia="Times New Roman" w:hAnsi="Times New Roman"/>
                <w:sz w:val="21"/>
                <w:szCs w:val="21"/>
                <w:color w:val="0000FF"/>
              </w:rPr>
              <w:t>Miscellaneous</w:t>
            </w:r>
          </w:p>
        </w:tc>
      </w:tr>
      <w:tr>
        <w:trPr>
          <w:trHeight w:val="244"/>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7.01</w:t>
            </w:r>
          </w:p>
        </w:tc>
        <w:tc>
          <w:tcPr>
            <w:tcW w:w="180" w:type="dxa"/>
            <w:vAlign w:val="bottom"/>
          </w:tcPr>
          <w:p>
            <w:pPr>
              <w:spacing w:after="0"/>
              <w:rPr>
                <w:sz w:val="21"/>
                <w:szCs w:val="21"/>
                <w:color w:val="auto"/>
              </w:rPr>
            </w:pPr>
          </w:p>
        </w:tc>
        <w:tc>
          <w:tcPr>
            <w:tcW w:w="3460" w:type="dxa"/>
            <w:vAlign w:val="bottom"/>
            <w:gridSpan w:val="18"/>
          </w:tcPr>
          <w:p>
            <w:pPr>
              <w:spacing w:after="0"/>
              <w:rPr>
                <w:sz w:val="20"/>
                <w:szCs w:val="20"/>
                <w:color w:val="auto"/>
              </w:rPr>
            </w:pPr>
            <w:r>
              <w:rPr>
                <w:rFonts w:ascii="Times New Roman" w:cs="Times New Roman" w:eastAsia="Times New Roman" w:hAnsi="Times New Roman"/>
                <w:sz w:val="21"/>
                <w:szCs w:val="21"/>
                <w:color w:val="0000FF"/>
              </w:rPr>
              <w:t>Amendments; Waivers</w:t>
            </w:r>
          </w:p>
        </w:tc>
        <w:tc>
          <w:tcPr>
            <w:tcW w:w="1200" w:type="dxa"/>
            <w:vAlign w:val="bottom"/>
            <w:tcBorders>
              <w:top w:val="single" w:sz="8" w:color="0000FF"/>
            </w:tcBorders>
            <w:gridSpan w:val="7"/>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900" w:type="dxa"/>
            <w:vAlign w:val="bottom"/>
            <w:gridSpan w:val="9"/>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gridSpan w:val="12"/>
          </w:tcPr>
          <w:p>
            <w:pPr>
              <w:spacing w:after="0" w:line="20" w:lineRule="exact"/>
              <w:rPr>
                <w:sz w:val="1"/>
                <w:szCs w:val="1"/>
                <w:color w:val="auto"/>
              </w:rPr>
            </w:pPr>
          </w:p>
        </w:tc>
      </w:tr>
      <w:tr>
        <w:trPr>
          <w:trHeight w:val="270"/>
        </w:trPr>
        <w:tc>
          <w:tcPr>
            <w:tcW w:w="6260" w:type="dxa"/>
            <w:vAlign w:val="bottom"/>
            <w:gridSpan w:val="29"/>
          </w:tcPr>
          <w:p>
            <w:pPr>
              <w:spacing w:after="0"/>
              <w:rPr>
                <w:sz w:val="20"/>
                <w:szCs w:val="20"/>
                <w:color w:val="auto"/>
              </w:rPr>
            </w:pPr>
            <w:r>
              <w:rPr>
                <w:rFonts w:ascii="Times New Roman" w:cs="Times New Roman" w:eastAsia="Times New Roman" w:hAnsi="Times New Roman"/>
                <w:sz w:val="21"/>
                <w:szCs w:val="21"/>
                <w:color w:val="0000FF"/>
              </w:rPr>
              <w:t>Section 7.02  Extension of Time, Waiver, Etc.</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1"/>
                <w:szCs w:val="21"/>
                <w:color w:val="0000FF"/>
                <w:w w:val="97"/>
              </w:rPr>
              <w:t>Section 7.03</w:t>
            </w:r>
          </w:p>
        </w:tc>
        <w:tc>
          <w:tcPr>
            <w:tcW w:w="180" w:type="dxa"/>
            <w:vAlign w:val="bottom"/>
          </w:tcPr>
          <w:p>
            <w:pPr>
              <w:spacing w:after="0"/>
              <w:rPr>
                <w:sz w:val="23"/>
                <w:szCs w:val="23"/>
                <w:color w:val="auto"/>
              </w:rPr>
            </w:pPr>
          </w:p>
        </w:tc>
        <w:tc>
          <w:tcPr>
            <w:tcW w:w="5040" w:type="dxa"/>
            <w:vAlign w:val="bottom"/>
            <w:gridSpan w:val="27"/>
          </w:tcPr>
          <w:p>
            <w:pPr>
              <w:spacing w:after="0"/>
              <w:rPr>
                <w:sz w:val="20"/>
                <w:szCs w:val="20"/>
                <w:color w:val="auto"/>
              </w:rPr>
            </w:pPr>
            <w:r>
              <w:rPr>
                <w:rFonts w:ascii="Times New Roman" w:cs="Times New Roman" w:eastAsia="Times New Roman" w:hAnsi="Times New Roman"/>
                <w:sz w:val="21"/>
                <w:szCs w:val="21"/>
                <w:color w:val="0000FF"/>
              </w:rPr>
              <w:t>Assignment</w:t>
            </w:r>
          </w:p>
        </w:tc>
      </w:tr>
      <w:tr>
        <w:trPr>
          <w:trHeight w:val="20"/>
        </w:trPr>
        <w:tc>
          <w:tcPr>
            <w:tcW w:w="10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ectPr>
          <w:pgSz w:w="11900" w:h="16838" w:orient="portrait"/>
          <w:cols w:equalWidth="0" w:num="2">
            <w:col w:w="10120" w:space="560"/>
            <w:col w:w="200"/>
          </w:cols>
          <w:pgMar w:left="400" w:top="9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880"/>
          </w:cols>
          <w:pgMar w:left="400" w:top="92" w:right="619" w:bottom="1440" w:gutter="0" w:footer="0" w:header="0"/>
          <w:type w:val="continuous"/>
        </w:sectPr>
      </w:pPr>
    </w:p>
    <w:bookmarkStart w:id="122" w:name="page123"/>
    <w:bookmarkEnd w:id="122"/>
    <w:p>
      <w:pPr>
        <w:jc w:val="center"/>
        <w:ind w:left="12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8"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1"/>
          <w:szCs w:val="21"/>
          <w:color w:val="auto"/>
        </w:rPr>
        <w:t>(cont’d)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7.04</w:t>
        <w:tab/>
        <w:t>Counterparts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7.05</w:t>
        <w:tab/>
        <w:t>Entire Agreement; No Third-Party Beneficiaries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7.06</w:t>
        <w:tab/>
        <w:t>Governing Law; Jurisdiction</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7.07</w:t>
        <w:tab/>
        <w:t>Specific Enforcement</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7.08</w:t>
      </w:r>
      <w:r>
        <w:rPr>
          <w:sz w:val="20"/>
          <w:szCs w:val="20"/>
          <w:color w:val="auto"/>
        </w:rPr>
        <w:tab/>
      </w:r>
      <w:r>
        <w:rPr>
          <w:rFonts w:ascii="Times New Roman" w:cs="Times New Roman" w:eastAsia="Times New Roman" w:hAnsi="Times New Roman"/>
          <w:sz w:val="20"/>
          <w:szCs w:val="20"/>
          <w:u w:val="single" w:color="auto"/>
          <w:color w:val="0000FF"/>
        </w:rPr>
        <w:t>WAIVER OF JURY TRIAL</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7.09</w:t>
      </w:r>
      <w:r>
        <w:rPr>
          <w:sz w:val="20"/>
          <w:szCs w:val="20"/>
          <w:color w:val="auto"/>
        </w:rPr>
        <w:tab/>
      </w:r>
      <w:r>
        <w:rPr>
          <w:rFonts w:ascii="Times New Roman" w:cs="Times New Roman" w:eastAsia="Times New Roman" w:hAnsi="Times New Roman"/>
          <w:sz w:val="20"/>
          <w:szCs w:val="20"/>
          <w:u w:val="single" w:color="auto"/>
          <w:color w:val="0000FF"/>
        </w:rPr>
        <w:t>Notices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7.10</w:t>
        <w:tab/>
        <w:t>Severability</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7.11</w:t>
        <w:tab/>
        <w:t>Expenses</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7.12</w:t>
        <w:tab/>
        <w:t>Interpretation</w:t>
      </w:r>
    </w:p>
    <w:p>
      <w:pPr>
        <w:spacing w:after="0" w:line="49"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1"/>
          <w:szCs w:val="21"/>
          <w:u w:val="single" w:color="auto"/>
          <w:color w:val="0000FF"/>
        </w:rPr>
        <w:t>Section 7.13</w:t>
        <w:tab/>
        <w:t>Non-Recourse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Exhibits</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Exhibit A:</w:t>
        <w:tab/>
        <w:t>Form of Certificate of Designations</w:t>
      </w:r>
    </w:p>
    <w:p>
      <w:pPr>
        <w:spacing w:after="0" w:line="209" w:lineRule="auto"/>
        <w:tabs>
          <w:tab w:leader="none" w:pos="1080" w:val="left"/>
        </w:tabs>
        <w:rPr>
          <w:sz w:val="20"/>
          <w:szCs w:val="20"/>
          <w:color w:val="auto"/>
        </w:rPr>
      </w:pPr>
      <w:r>
        <w:rPr>
          <w:rFonts w:ascii="Times New Roman" w:cs="Times New Roman" w:eastAsia="Times New Roman" w:hAnsi="Times New Roman"/>
          <w:sz w:val="21"/>
          <w:szCs w:val="21"/>
          <w:color w:val="auto"/>
        </w:rPr>
        <w:t>Exhibit B:</w:t>
        <w:tab/>
        <w:t>Form of Registration Rights Agreement</w:t>
      </w:r>
    </w:p>
    <w:p>
      <w:pPr>
        <w:spacing w:after="0" w:line="210" w:lineRule="auto"/>
        <w:tabs>
          <w:tab w:leader="none" w:pos="1080" w:val="left"/>
        </w:tabs>
        <w:rPr>
          <w:sz w:val="20"/>
          <w:szCs w:val="20"/>
          <w:color w:val="auto"/>
        </w:rPr>
      </w:pPr>
      <w:r>
        <w:rPr>
          <w:rFonts w:ascii="Times New Roman" w:cs="Times New Roman" w:eastAsia="Times New Roman" w:hAnsi="Times New Roman"/>
          <w:sz w:val="21"/>
          <w:szCs w:val="21"/>
          <w:color w:val="auto"/>
        </w:rPr>
        <w:t>Exhibit C:</w:t>
        <w:tab/>
        <w:t>Knowledge of the Company</w:t>
      </w:r>
    </w:p>
    <w:p>
      <w:pPr>
        <w:spacing w:after="0"/>
        <w:tabs>
          <w:tab w:leader="none" w:pos="1080" w:val="left"/>
        </w:tabs>
        <w:rPr>
          <w:sz w:val="20"/>
          <w:szCs w:val="20"/>
          <w:color w:val="auto"/>
        </w:rPr>
      </w:pPr>
      <w:r>
        <w:rPr>
          <w:rFonts w:ascii="Times New Roman" w:cs="Times New Roman" w:eastAsia="Times New Roman" w:hAnsi="Times New Roman"/>
          <w:sz w:val="21"/>
          <w:szCs w:val="21"/>
          <w:color w:val="auto"/>
        </w:rPr>
        <w:t>Exhibit D:</w:t>
        <w:tab/>
        <w:t>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2">
            <w:col w:w="10040" w:space="720"/>
            <w:col w:w="200"/>
          </w:cols>
          <w:pgMar w:left="320" w:top="96" w:right="619" w:bottom="1440" w:gutter="0" w:footer="0" w:header="0"/>
        </w:sectPr>
      </w:pPr>
    </w:p>
    <w:bookmarkStart w:id="123" w:name="page124"/>
    <w:bookmarkEnd w:id="123"/>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INVESTMENT AGREEMENT, dated as of January 31, 2023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Western Digital Corporation,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Elliott Associates, L.P., a Delaware limited partnership (“</w:t>
      </w:r>
      <w:r>
        <w:rPr>
          <w:rFonts w:ascii="Times New Roman" w:cs="Times New Roman" w:eastAsia="Times New Roman" w:hAnsi="Times New Roman"/>
          <w:sz w:val="21"/>
          <w:szCs w:val="21"/>
          <w:u w:val="single" w:color="auto"/>
          <w:color w:val="auto"/>
        </w:rPr>
        <w:t>EALP</w:t>
      </w:r>
      <w:r>
        <w:rPr>
          <w:rFonts w:ascii="Times New Roman" w:cs="Times New Roman" w:eastAsia="Times New Roman" w:hAnsi="Times New Roman"/>
          <w:sz w:val="21"/>
          <w:szCs w:val="21"/>
          <w:color w:val="auto"/>
        </w:rPr>
        <w:t>”), and Elliott International, L.P., a Cayman Islands limited partnership (“</w:t>
      </w:r>
      <w:r>
        <w:rPr>
          <w:rFonts w:ascii="Times New Roman" w:cs="Times New Roman" w:eastAsia="Times New Roman" w:hAnsi="Times New Roman"/>
          <w:sz w:val="21"/>
          <w:szCs w:val="21"/>
          <w:u w:val="single" w:color="auto"/>
          <w:color w:val="auto"/>
        </w:rPr>
        <w:t>EILP</w:t>
      </w:r>
      <w:r>
        <w:rPr>
          <w:rFonts w:ascii="Times New Roman" w:cs="Times New Roman" w:eastAsia="Times New Roman" w:hAnsi="Times New Roman"/>
          <w:sz w:val="21"/>
          <w:szCs w:val="21"/>
          <w:color w:val="auto"/>
        </w:rPr>
        <w:t xml:space="preserve">” and, together with EALP and their respective successors and any Affiliate that becomes a party hereto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Investors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WHEREAS, subject to the terms and conditions set forth herein, the Company desires to issue, sell and deliver to the Investors, and the Investors desire to purchase and acquire from the Company, an aggregate of 235,000 shares of the Company’s Series A Convertible Perpetual Preferred Stock, par value $0.01 per share (the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xml:space="preserve">”), having the designation, preferences, rights, privileges, powers, and terms and conditions, as specified in the form of the Certificate of Designations, Preferences and Rights of Series A Convertible Perpetual Preferred Stock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Designations</w:t>
      </w:r>
      <w:r>
        <w:rPr>
          <w:rFonts w:ascii="Times New Roman" w:cs="Times New Roman" w:eastAsia="Times New Roman" w:hAnsi="Times New Roman"/>
          <w:sz w:val="21"/>
          <w:szCs w:val="21"/>
          <w:color w:val="auto"/>
        </w:rPr>
        <w:t>”); and</w:t>
      </w:r>
    </w:p>
    <w:p>
      <w:pPr>
        <w:spacing w:after="0" w:line="149" w:lineRule="exact"/>
        <w:rPr>
          <w:sz w:val="20"/>
          <w:szCs w:val="20"/>
          <w:color w:val="auto"/>
        </w:rPr>
      </w:pPr>
    </w:p>
    <w:p>
      <w:pPr>
        <w:ind w:right="40" w:firstLine="1266"/>
        <w:spacing w:after="0" w:line="244" w:lineRule="auto"/>
        <w:rPr>
          <w:sz w:val="20"/>
          <w:szCs w:val="20"/>
          <w:color w:val="auto"/>
        </w:rPr>
      </w:pPr>
      <w:r>
        <w:rPr>
          <w:rFonts w:ascii="Times New Roman" w:cs="Times New Roman" w:eastAsia="Times New Roman" w:hAnsi="Times New Roman"/>
          <w:sz w:val="21"/>
          <w:szCs w:val="21"/>
          <w:color w:val="auto"/>
        </w:rPr>
        <w:t>WHEREAS, contemporaneously with the execution and delivery of this Agreement, the Company is entering into the Apollo Investment Agreement.</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NOW, THEREFORE, in consideration of the mutual covenants, representations, warranties and agreements contained in this Agreement, the receipt and sufficiency of which are hereby acknowledged, the parties to this Agreement hereby agree as follows:</w:t>
      </w:r>
    </w:p>
    <w:p>
      <w:pPr>
        <w:spacing w:after="0" w:line="1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85"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 As used in this Agreement (including the recitals hereto), the following terms shall have the following meanings:</w:t>
      </w:r>
    </w:p>
    <w:p>
      <w:pPr>
        <w:spacing w:after="0" w:line="142"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25% Beneficial Holding Requirement</w:t>
      </w:r>
      <w:r>
        <w:rPr>
          <w:rFonts w:ascii="Times New Roman" w:cs="Times New Roman" w:eastAsia="Times New Roman" w:hAnsi="Times New Roman"/>
          <w:sz w:val="21"/>
          <w:szCs w:val="21"/>
          <w:color w:val="auto"/>
        </w:rPr>
        <w:t xml:space="preserve">” means that the Investor Parties continue to beneficially own shares of Preferred Stock and/or shares of Common Stock issued upon conversion of shares of Preferred Stock that represent, in the aggregate and on an as-converted basis (without regard to the provisions of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at least 25% of the number of shares of Common Stock beneficially owned by the Investor Parties in the aggregate on an as-converted basis as at the Closing (without regard to the provisions of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in each case as appropriately adjusted to account for any event that results in an adjustment to the Conversion Price in accordance with the applicable section of the Certificate of Designations;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the Company undertakes a Standalone Spin-Off, from and after such Spin-Off, for purposes of calculating this 25% Beneficial Holding Requirement, the number of shares of Preferred Stock and/or Common Stock beneficially owned by the Investor Parties as of the Closing shall equal (a) the Acquired Shares (as defined below)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(b) the SpinCo Preferred Stock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-151765</wp:posOffset>
            </wp:positionV>
            <wp:extent cx="2755265" cy="142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2755265" cy="142240"/>
                    </a:xfrm>
                    <a:prstGeom prst="rect">
                      <a:avLst/>
                    </a:prstGeom>
                    <a:noFill/>
                  </pic:spPr>
                </pic:pic>
              </a:graphicData>
            </a:graphic>
          </wp:anchor>
        </w:drawing>
      </w:r>
    </w:p>
    <w:p>
      <w:pPr>
        <w:spacing w:after="0" w:line="134"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50% Beneficial Holding Requirement</w:t>
      </w:r>
      <w:r>
        <w:rPr>
          <w:rFonts w:ascii="Times New Roman" w:cs="Times New Roman" w:eastAsia="Times New Roman" w:hAnsi="Times New Roman"/>
          <w:sz w:val="21"/>
          <w:szCs w:val="21"/>
          <w:color w:val="auto"/>
        </w:rPr>
        <w:t xml:space="preserve">” means that the Investor Parties continue to beneficially own shares of Preferred Stock and/or shares of Common Stock issued upon conversion of shares of Preferred Stock that represent, in the aggregate and on an as-converted basis (without regard to the provisions of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at least 50% of the number of shares of Common Stock beneficially owned by the Investor Parties in the aggregate on an as-converted basis as at the Closing (without regard to the provisions of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in each case as appropriately adjusted to account for any event that results in an adjustment to the Conversion Price in accordance with the applicable section of the Certificate of Designations;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the Company undertakes a Standalone Spin-Off, from and after such Spin-Off, for purposes of calculating this 50% Beneficial Holding Requirement, the number of shares of Preferred Stock and/or Common Stock beneficially owned by the Investor Parties as of the</w:t>
      </w:r>
    </w:p>
    <w:p>
      <w:pPr>
        <w:sectPr>
          <w:pgSz w:w="11900" w:h="16838" w:orient="portrait"/>
          <w:cols w:equalWidth="0" w:num="1">
            <w:col w:w="11240"/>
          </w:cols>
          <w:pgMar w:left="320" w:top="136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color w:val="auto"/>
        </w:rPr>
        <w:t xml:space="preserve">Closing shall equal (a) the Acquired Shares (as defined below)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(b) the SpinCo Preferred Stock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-133985</wp:posOffset>
            </wp:positionV>
            <wp:extent cx="2755265" cy="142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2755265" cy="142240"/>
                    </a:xfrm>
                    <a:prstGeom prst="rect">
                      <a:avLst/>
                    </a:prstGeom>
                    <a:noFill/>
                  </pic:spPr>
                </pic:pic>
              </a:graphicData>
            </a:graphic>
          </wp:anchor>
        </w:drawing>
      </w:r>
    </w:p>
    <w:p>
      <w:pPr>
        <w:spacing w:after="0" w:line="163"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as to any Person, any other Person that, directly or indirectly, controls, or is controlled by, or is under common control with, such Person, including any investment fund, vehicle or account sponsored or managed by such Person or any other Person that controls, is controlled by, or is under common control with such Person (for clarity, an investment fund, vehicle or account shall be deemed to be an “Affiliate” of all other investment funds, vehicles and accounts under common management, directly or indirectly, with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 that the Company and its Subsidiaries shall not be deemed to be Affiliates of any Investor Party or any of its Affiliates, and (ii) other than in the case of the definitions of “Third Party”, “Investor Party” and “Investor Related Party”, </w:t>
      </w:r>
      <w:r>
        <w:rPr>
          <w:rFonts w:ascii="Times New Roman" w:cs="Times New Roman" w:eastAsia="Times New Roman" w:hAnsi="Times New Roman"/>
          <w:sz w:val="21"/>
          <w:szCs w:val="21"/>
          <w:u w:val="single" w:color="auto"/>
          <w:color w:val="auto"/>
        </w:rPr>
        <w:t>Section 4.08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in no event shall any of the Investor Parties or any of their respective Subsidiaries be considered an Affiliate of any portfolio company affiliated with or managed by affiliates of Elliott, nor shall any other portfolio company affiliated with or managed by affiliates of Elliott be considered to be an Affiliate of an Investor Party or any of their respective Affiliates. For this purpose,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with its correlative meanings,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Apollo</w:t>
      </w:r>
      <w:r>
        <w:rPr>
          <w:rFonts w:ascii="Times New Roman" w:cs="Times New Roman" w:eastAsia="Times New Roman" w:hAnsi="Times New Roman"/>
          <w:sz w:val="21"/>
          <w:szCs w:val="21"/>
          <w:color w:val="auto"/>
        </w:rPr>
        <w:t>” means Apollo Global Management, Inc. and its Affiliates.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Apollo Investor</w:t>
      </w:r>
      <w:r>
        <w:rPr>
          <w:rFonts w:ascii="Times New Roman" w:cs="Times New Roman" w:eastAsia="Times New Roman" w:hAnsi="Times New Roman"/>
          <w:sz w:val="21"/>
          <w:szCs w:val="21"/>
          <w:color w:val="auto"/>
        </w:rPr>
        <w:t>” means AP WD Holdings, L.P. and each Affiliate of AP WD Holdings, L.P. to whom shares of Preferred Stock or Common Stock are transferred in accordance with the terms of the Apollo Investment Agreement.</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Apollo Transaction Documents</w:t>
      </w:r>
      <w:r>
        <w:rPr>
          <w:rFonts w:ascii="Times New Roman" w:cs="Times New Roman" w:eastAsia="Times New Roman" w:hAnsi="Times New Roman"/>
          <w:sz w:val="21"/>
          <w:szCs w:val="21"/>
          <w:color w:val="auto"/>
        </w:rPr>
        <w:t>” means, collectively, the Investment Agreement, dated as of the date hereof, by and between the Company and AP WD Holdings, L.P. (the “</w:t>
      </w:r>
      <w:r>
        <w:rPr>
          <w:rFonts w:ascii="Times New Roman" w:cs="Times New Roman" w:eastAsia="Times New Roman" w:hAnsi="Times New Roman"/>
          <w:sz w:val="21"/>
          <w:szCs w:val="21"/>
          <w:u w:val="single" w:color="auto"/>
          <w:color w:val="auto"/>
        </w:rPr>
        <w:t>Apollo Investment Agreement</w:t>
      </w:r>
      <w:r>
        <w:rPr>
          <w:rFonts w:ascii="Times New Roman" w:cs="Times New Roman" w:eastAsia="Times New Roman" w:hAnsi="Times New Roman"/>
          <w:sz w:val="21"/>
          <w:szCs w:val="21"/>
          <w:color w:val="auto"/>
        </w:rPr>
        <w:t>”) together with the Certificate of Designations and the Registration Rights Agreement.</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Threshold</w:t>
      </w:r>
      <w:r>
        <w:rPr>
          <w:rFonts w:ascii="Times New Roman" w:cs="Times New Roman" w:eastAsia="Times New Roman" w:hAnsi="Times New Roman"/>
          <w:sz w:val="21"/>
          <w:szCs w:val="21"/>
          <w:color w:val="auto"/>
        </w:rPr>
        <w:t xml:space="preserve">” means, as of any particular date, the number of shares of Common Stock issuable to the Investor Parties upon conversion of shares of Preferred Stock as of such date without regard to any restrictions on the Investor Parties’ right to convert shares of the Preferred Stock (including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as-converted basis</w:t>
      </w:r>
      <w:r>
        <w:rPr>
          <w:rFonts w:ascii="Times New Roman" w:cs="Times New Roman" w:eastAsia="Times New Roman" w:hAnsi="Times New Roman"/>
          <w:sz w:val="21"/>
          <w:szCs w:val="21"/>
          <w:color w:val="auto"/>
        </w:rPr>
        <w:t>” means (i) with respect to the outstanding shares of Common Stock as of any date, all outstanding shares of Common Stock calculated on a basis in which all shares of Common Stock issuable upon conversion of the outstanding shares of Preferred Stock (at the Conversion Price in effect on such date as set forth in the Certificate of Designations) are assumed to be outstanding as of such date and (ii) with respect to any outstanding shares of Preferred Stock as of any date, the number of shares of Common Stock issuable upon conversion of such shares of Preferred Stock on such date (at the Conversion Price in effect on such date as set forth in the Certificate of Designations).</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beneficial ownership of</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beneficially owning</w:t>
      </w:r>
      <w:r>
        <w:rPr>
          <w:rFonts w:ascii="Times New Roman" w:cs="Times New Roman" w:eastAsia="Times New Roman" w:hAnsi="Times New Roman"/>
          <w:sz w:val="21"/>
          <w:szCs w:val="21"/>
          <w:color w:val="auto"/>
        </w:rPr>
        <w:t xml:space="preserve">” any securities shall have the meaning set forth in Rule 13d-3 of the rules and regulations under the Exchange Act as in effect on the date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Person shall be deemed to beneficially own any securities that such Person has the right to acquire, whether or not such right is exercisable immediately (including assuming conversion of all Preferred Stock, if any, owned by such Person to Common Stock), except as otherwise expressly provided in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3" w:right="339" w:bottom="1440" w:gutter="0" w:footer="0" w:header="0"/>
        </w:sectPr>
      </w:pPr>
    </w:p>
    <w:bookmarkStart w:id="125" w:name="page126"/>
    <w:bookmarkEnd w:id="125"/>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except a Saturday, a Sunday or other day on which the SEC or banks in the City of New York are authorized or required by Law to be closed.</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United States Internal Revenue Code of 1986, as amended.</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par value $0.01 per share, of the Company.</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Charter Documents</w:t>
      </w:r>
      <w:r>
        <w:rPr>
          <w:rFonts w:ascii="Times New Roman" w:cs="Times New Roman" w:eastAsia="Times New Roman" w:hAnsi="Times New Roman"/>
          <w:sz w:val="21"/>
          <w:szCs w:val="21"/>
          <w:color w:val="auto"/>
        </w:rPr>
        <w:t>” means the Company’s certificate of incorporation and bylaws, each as amended to the date of this Agreement.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ESPP</w:t>
      </w:r>
      <w:r>
        <w:rPr>
          <w:rFonts w:ascii="Times New Roman" w:cs="Times New Roman" w:eastAsia="Times New Roman" w:hAnsi="Times New Roman"/>
          <w:sz w:val="21"/>
          <w:szCs w:val="21"/>
          <w:color w:val="auto"/>
        </w:rPr>
        <w:t>” means the Amended and Restated 2005 Employee Stock Purchase Plan.</w:t>
      </w:r>
    </w:p>
    <w:p>
      <w:pPr>
        <w:spacing w:after="0" w:line="181"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Plan</w:t>
      </w:r>
      <w:r>
        <w:rPr>
          <w:rFonts w:ascii="Times New Roman" w:cs="Times New Roman" w:eastAsia="Times New Roman" w:hAnsi="Times New Roman"/>
          <w:sz w:val="21"/>
          <w:szCs w:val="21"/>
          <w:color w:val="auto"/>
        </w:rPr>
        <w:t>” means each “employee benefit plan” (as defined in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and the Company ESPP), deferred compensation or other benefit or compensation, in each case, that is sponsored, maintained or contributed to by the Company or any of its Subsidiaries or to which the Company or any of its Subsidiaries contributes or is obligated to contribute to, or has or may have any current or contingent liability or obligation, including on account of an ERISA Affiliate, other than any plan, program, policy, agreement or arrangement sponsored and administered by a Governmental Authority.</w:t>
      </w:r>
    </w:p>
    <w:p>
      <w:pPr>
        <w:spacing w:after="0" w:line="153"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Related Party</w:t>
      </w:r>
      <w:r>
        <w:rPr>
          <w:rFonts w:ascii="Times New Roman" w:cs="Times New Roman" w:eastAsia="Times New Roman" w:hAnsi="Times New Roman"/>
          <w:sz w:val="21"/>
          <w:szCs w:val="21"/>
          <w:color w:val="auto"/>
        </w:rPr>
        <w:t>” means the Company and its former, current or future Affiliates and any of the foregoing’s respective former, current or future, direct or indirect, officers, other fiduciary, directors, employees, affiliates, stockholders, equityholders, managers, members, partners, agents, attorneys, advisors, lenders or other representatives or any of the foregoing’s respective successors or assigns.</w:t>
      </w:r>
    </w:p>
    <w:p>
      <w:pPr>
        <w:spacing w:after="0" w:line="150"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Stock Plans</w:t>
      </w:r>
      <w:r>
        <w:rPr>
          <w:rFonts w:ascii="Times New Roman" w:cs="Times New Roman" w:eastAsia="Times New Roman" w:hAnsi="Times New Roman"/>
          <w:sz w:val="21"/>
          <w:szCs w:val="21"/>
          <w:color w:val="auto"/>
        </w:rPr>
        <w:t>” means the Amended and Restated Western Digital Corporation 2021 Long-Term Incentive Plan, the Western Digital Corporation Amended and Restated 2017 Performance Incentive Plan, the 2021 Long-Term Incentive Plan Non-Employee Director Restricted Stock Unit Grant Program, the SanDisk Corporation 2013 Incentive Plan, the Virident Systems, Inc. 2006 Stock Plan and the Amended and Restated Western Digital Corporation Non-Employee Directors Stock For Fees Plan, each as may be amended from time to time.</w:t>
      </w:r>
    </w:p>
    <w:p>
      <w:pPr>
        <w:spacing w:after="0" w:line="149"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information required to be furnished by or on behalf of the Company or any of its Representatives to the Investors pursuant to the terms of this Agreement, whether disclosed orally or in writing, that (i) is proprietary to the Company and pertains to the business of the Company, (ii) may be reasonably recognized as confidential and proprietary in nature by the Investors, and (iii) (A) if tangible material, is conspicuously marked “confidential” at the time of its delivery to the Investors, or (B) if oral information, is identified as “confidential” at the time of its disclosure to the Investors, or if such information is inadvertently not marked or identified as “confidential” at the time of disclosure or delivery, is sufficiently identified and designated as “confidential” by the Company in a written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5" w:right="339" w:bottom="1440" w:gutter="0" w:footer="0" w:header="0"/>
        </w:sectPr>
      </w:pPr>
    </w:p>
    <w:bookmarkStart w:id="126" w:name="page127"/>
    <w:bookmarkEnd w:id="126"/>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and delivered or e-mailed to the Investors within five days after the disclosure or delivery; provided that, notwithstanding anything to the contrary in this Agreement, “Confidential Information” does not and will not include (1) any information that is or becomes generally available to the public other than as a result of a disclosure by the Investors in breach of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(2) any information that is obtained by, or that is or becomes available to, the Investors or their Affiliates in the normal course of any business dealings between the Parties without obligation of confidentiality, (3) any information that becomes legally available to the Investors or their Affiliates from a source other than the Company who is not, to the knowledge of the Investors, bound by a confidentiality obligation to the Company with respect to such information, or (4) any information that was or is independently developed by the Investors or their Affiliates or on their behalf; and provided, further, that, notwithstanding anything to the contrary in this Agreement, the Investors may, upon written notice to the Company, request not to receive any information that is otherwise contemplated to be furnished by the Company to the Investors pursuant to the terms of this Agreement.</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Conversion Price</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Convertible Notes</w:t>
      </w:r>
      <w:r>
        <w:rPr>
          <w:rFonts w:ascii="Times New Roman" w:cs="Times New Roman" w:eastAsia="Times New Roman" w:hAnsi="Times New Roman"/>
          <w:sz w:val="21"/>
          <w:szCs w:val="21"/>
          <w:color w:val="auto"/>
        </w:rPr>
        <w:t>” means $1,100,000,000 of the Company’s 1.50% Convertible Senior Notes due 2024 and any successor debt securities issued to refinance the Convertible Notes.</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Financing</w:t>
      </w:r>
      <w:r>
        <w:rPr>
          <w:rFonts w:ascii="Times New Roman" w:cs="Times New Roman" w:eastAsia="Times New Roman" w:hAnsi="Times New Roman"/>
          <w:sz w:val="21"/>
          <w:szCs w:val="21"/>
          <w:color w:val="auto"/>
        </w:rPr>
        <w:t xml:space="preserve">” means any financing transaction not otherwise subject to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in which Apollo, the Apollo Investor or their respective Affiliates are a party and (x) a consent is required pursuant to Section 5.18 of the Apollo Investment Agreement as in effect on the date hereof to effect such transaction or (y) any amendment to the terms of the Preferred Stock is effected in connection with such transaction.</w:t>
      </w:r>
    </w:p>
    <w:p>
      <w:pPr>
        <w:spacing w:after="0" w:line="150"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means the Amended and Restated Loan Agreement, dated as of January 7, 2022 (as amended by Amendment No. 1, dated as of December 23, 2022 and as further amended, modified or restated from time to time), among the Company, the various institutions party thereto from time to time and J.P. Morgan Chase Bank, N.A., as administrative agent.</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Delayed Draw Facility</w:t>
      </w:r>
      <w:r>
        <w:rPr>
          <w:rFonts w:ascii="Times New Roman" w:cs="Times New Roman" w:eastAsia="Times New Roman" w:hAnsi="Times New Roman"/>
          <w:sz w:val="21"/>
          <w:szCs w:val="21"/>
          <w:color w:val="auto"/>
        </w:rPr>
        <w:t>” means that certain Loan Agreement, dated as of January 25, 2023 (as amended, modified or restated from time to time), among the Company, the various institutions party thereto from time to time and J.P. Morgan Chase Bank, N.A., as administrative agent.</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Elliott</w:t>
      </w:r>
      <w:r>
        <w:rPr>
          <w:rFonts w:ascii="Times New Roman" w:cs="Times New Roman" w:eastAsia="Times New Roman" w:hAnsi="Times New Roman"/>
          <w:sz w:val="21"/>
          <w:szCs w:val="21"/>
          <w:color w:val="auto"/>
        </w:rPr>
        <w:t>” means Elliott Investment Management L.P., a Delaware limited partnership.</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Elliott Director</w:t>
      </w:r>
      <w:r>
        <w:rPr>
          <w:rFonts w:ascii="Times New Roman" w:cs="Times New Roman" w:eastAsia="Times New Roman" w:hAnsi="Times New Roman"/>
          <w:sz w:val="21"/>
          <w:szCs w:val="21"/>
          <w:color w:val="auto"/>
        </w:rPr>
        <w:t>” means any Elliott Director appointed to the Board pursuant to paragraph 3 of the Elliott Letter</w:t>
      </w:r>
    </w:p>
    <w:p>
      <w:pPr>
        <w:spacing w:after="0"/>
        <w:rPr>
          <w:sz w:val="20"/>
          <w:szCs w:val="20"/>
          <w:color w:val="auto"/>
        </w:rPr>
      </w:pPr>
      <w:r>
        <w:rPr>
          <w:rFonts w:ascii="Times New Roman" w:cs="Times New Roman" w:eastAsia="Times New Roman" w:hAnsi="Times New Roman"/>
          <w:sz w:val="21"/>
          <w:szCs w:val="21"/>
          <w:color w:val="auto"/>
        </w:rPr>
        <w:t>Agreement.</w:t>
      </w:r>
    </w:p>
    <w:p>
      <w:pPr>
        <w:spacing w:after="0" w:line="15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Elliott Letter Agreement</w:t>
      </w:r>
      <w:r>
        <w:rPr>
          <w:rFonts w:ascii="Times New Roman" w:cs="Times New Roman" w:eastAsia="Times New Roman" w:hAnsi="Times New Roman"/>
          <w:sz w:val="21"/>
          <w:szCs w:val="21"/>
          <w:color w:val="auto"/>
        </w:rPr>
        <w:t>” means that certain letter agreement, dated as of June 7, 2022, between Elliott and the Company in respect of prior investments by the Investors in Common Stock of the Company, as amended as of the date hereof.</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with respect to the Company or any of its Subsidiaries, any member of any group of organizations described in Section 414(b), (c), (m), (n) or (o) of the Code of which the Company or such Subsidiary is a member.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color w:val="auto"/>
        </w:rPr>
        <w:t>Securities Exchange Act of 1934, as amended, and the rules and regulations promulgated thereunder.</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with respect to any security or other property, the fair market value of such security or other property as reasonably determined in good faith by a majority of the Board, or an authorized committee thereof.</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Flash Business</w:t>
      </w:r>
      <w:r>
        <w:rPr>
          <w:rFonts w:ascii="Times New Roman" w:cs="Times New Roman" w:eastAsia="Times New Roman" w:hAnsi="Times New Roman"/>
          <w:sz w:val="21"/>
          <w:szCs w:val="21"/>
          <w:color w:val="auto"/>
        </w:rPr>
        <w:t>” means the “Flash” operating segment of the Company described in the Company’s Form 10-K for the fiscal year ended July 1, 2022.</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Change</w:t>
      </w:r>
      <w:r>
        <w:rPr>
          <w:rFonts w:ascii="Times New Roman" w:cs="Times New Roman" w:eastAsia="Times New Roman" w:hAnsi="Times New Roman"/>
          <w:sz w:val="21"/>
          <w:szCs w:val="21"/>
          <w:color w:val="auto"/>
        </w:rPr>
        <w:t>” has the meaning set forth in the Certificate of Designations.</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Fundamental Representations</w:t>
      </w:r>
      <w:r>
        <w:rPr>
          <w:rFonts w:ascii="Times New Roman" w:cs="Times New Roman" w:eastAsia="Times New Roman" w:hAnsi="Times New Roman"/>
          <w:sz w:val="21"/>
          <w:szCs w:val="21"/>
          <w:color w:val="auto"/>
        </w:rPr>
        <w:t xml:space="preserve">” means the representations and warranties of the Company set forth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3.18</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consistently applied.</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HSR Act</w:t>
      </w:r>
      <w:r>
        <w:rPr>
          <w:rFonts w:ascii="Times New Roman" w:cs="Times New Roman" w:eastAsia="Times New Roman" w:hAnsi="Times New Roman"/>
          <w:sz w:val="21"/>
          <w:szCs w:val="21"/>
          <w:color w:val="auto"/>
        </w:rPr>
        <w:t>” means the Hart-Scott-Rodino Antitrust Improvements Act of 1976, as amended, and the rules and regulations promulgated thereunder.</w:t>
      </w:r>
    </w:p>
    <w:p>
      <w:pPr>
        <w:spacing w:after="0" w:line="142" w:lineRule="exact"/>
        <w:rPr>
          <w:sz w:val="20"/>
          <w:szCs w:val="20"/>
          <w:color w:val="auto"/>
        </w:rPr>
      </w:pPr>
    </w:p>
    <w:p>
      <w:pPr>
        <w:jc w:val="both"/>
        <w:ind w:firstLine="126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means, collectively, (i) the indenture dated February 13, 2018 (as amended or supplemented from time to time) among the Company, as issuer, the subsidiary guarantors party thereto, and U.S. Bank National Association, as trustee (the “</w:t>
      </w:r>
      <w:r>
        <w:rPr>
          <w:rFonts w:ascii="Times New Roman" w:cs="Times New Roman" w:eastAsia="Times New Roman" w:hAnsi="Times New Roman"/>
          <w:sz w:val="21"/>
          <w:szCs w:val="21"/>
          <w:u w:val="single" w:color="auto"/>
          <w:color w:val="auto"/>
        </w:rPr>
        <w:t>Base Indenture</w:t>
      </w:r>
      <w:r>
        <w:rPr>
          <w:rFonts w:ascii="Times New Roman" w:cs="Times New Roman" w:eastAsia="Times New Roman" w:hAnsi="Times New Roman"/>
          <w:sz w:val="21"/>
          <w:szCs w:val="21"/>
          <w:color w:val="auto"/>
        </w:rPr>
        <w:t>”) in connection with the Company’s issuance of the Convertible Notes and the $2,300,000,000 aggregate principal amount 4.750% Senior Unsecured Notes due 2026 (the “</w:t>
      </w:r>
      <w:r>
        <w:rPr>
          <w:rFonts w:ascii="Times New Roman" w:cs="Times New Roman" w:eastAsia="Times New Roman" w:hAnsi="Times New Roman"/>
          <w:sz w:val="21"/>
          <w:szCs w:val="21"/>
          <w:u w:val="single" w:color="auto"/>
          <w:color w:val="auto"/>
        </w:rPr>
        <w:t>2026 Notes</w:t>
      </w:r>
      <w:r>
        <w:rPr>
          <w:rFonts w:ascii="Times New Roman" w:cs="Times New Roman" w:eastAsia="Times New Roman" w:hAnsi="Times New Roman"/>
          <w:sz w:val="21"/>
          <w:szCs w:val="21"/>
          <w:color w:val="auto"/>
        </w:rPr>
        <w:t>”), and (ii) the First Supplement Indenture to Base Indenture dated December 10, 2021 among the Company, as issuer, and U.S. Bank National Association as trustee in connection with the Company’s issuance of the $500,000,000 aggregate principal amount 2.85% Senior Unsecured Notes due 2029 (the “</w:t>
      </w:r>
      <w:r>
        <w:rPr>
          <w:rFonts w:ascii="Times New Roman" w:cs="Times New Roman" w:eastAsia="Times New Roman" w:hAnsi="Times New Roman"/>
          <w:sz w:val="21"/>
          <w:szCs w:val="21"/>
          <w:u w:val="single" w:color="auto"/>
          <w:color w:val="auto"/>
        </w:rPr>
        <w:t>2029 Notes</w:t>
      </w:r>
      <w:r>
        <w:rPr>
          <w:rFonts w:ascii="Times New Roman" w:cs="Times New Roman" w:eastAsia="Times New Roman" w:hAnsi="Times New Roman"/>
          <w:sz w:val="21"/>
          <w:szCs w:val="21"/>
          <w:color w:val="auto"/>
        </w:rPr>
        <w:t>”), and the $500,000,000 aggregate principal amount 3.10% Senior Unsecured Notes due 2032 (the “</w:t>
      </w:r>
      <w:r>
        <w:rPr>
          <w:rFonts w:ascii="Times New Roman" w:cs="Times New Roman" w:eastAsia="Times New Roman" w:hAnsi="Times New Roman"/>
          <w:sz w:val="21"/>
          <w:szCs w:val="21"/>
          <w:u w:val="single" w:color="auto"/>
          <w:color w:val="auto"/>
        </w:rPr>
        <w:t>2032 Notes</w:t>
      </w:r>
      <w:r>
        <w:rPr>
          <w:rFonts w:ascii="Times New Roman" w:cs="Times New Roman" w:eastAsia="Times New Roman" w:hAnsi="Times New Roman"/>
          <w:sz w:val="21"/>
          <w:szCs w:val="21"/>
          <w:color w:val="auto"/>
        </w:rPr>
        <w:t>”), and any successor indenture or other loan agreement entered into to refinance the Convertible Notes, the 2026 Notes, the 2029 Notes or the 2032 Notes.</w:t>
      </w:r>
    </w:p>
    <w:p>
      <w:pPr>
        <w:spacing w:after="0" w:line="178"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Material Adverse Effect</w:t>
      </w:r>
      <w:r>
        <w:rPr>
          <w:rFonts w:ascii="Times New Roman" w:cs="Times New Roman" w:eastAsia="Times New Roman" w:hAnsi="Times New Roman"/>
          <w:sz w:val="21"/>
          <w:szCs w:val="21"/>
          <w:color w:val="auto"/>
        </w:rPr>
        <w:t>” means any effect, change, event or occurrence that would reasonably be expected to, individually or in the aggregate, prevent or materially delay or impair (i) the consummation by the Investors of any of the Transactions on a timely basis or (i) the compliance by the Investors with their respective obligations under this Agreement.</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Parties</w:t>
      </w:r>
      <w:r>
        <w:rPr>
          <w:rFonts w:ascii="Times New Roman" w:cs="Times New Roman" w:eastAsia="Times New Roman" w:hAnsi="Times New Roman"/>
          <w:sz w:val="21"/>
          <w:szCs w:val="21"/>
          <w:color w:val="auto"/>
        </w:rPr>
        <w:t>” means the Investors and each Affiliate of the Investors to whom shares of Preferred Stock or Common Stock are transferred in accordance with the terms of this Agreement.</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Investor Related Party</w:t>
      </w:r>
      <w:r>
        <w:rPr>
          <w:rFonts w:ascii="Times New Roman" w:cs="Times New Roman" w:eastAsia="Times New Roman" w:hAnsi="Times New Roman"/>
          <w:sz w:val="21"/>
          <w:szCs w:val="21"/>
          <w:color w:val="auto"/>
        </w:rPr>
        <w:t>” means the Investors and any other financing sources of the Investors and any of the foregoing’s respective former, current or future Affiliates and any of the foregoing’s respective former, current or future, direct or indirect, officers, other fiduciary, directors, employees, affiliates, stockholders, equityholders, managers, members,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agents, attorneys, advisors, lenders or other representatives or any of the foregoing’s respective successors or assigns.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means the United States Internal Revenue Service.</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xml:space="preserve">” means, with respect to the Company, the actual knowledge of the individuals listed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in each case after reasonable inquiry with his or her direct reports.</w:t>
      </w:r>
    </w:p>
    <w:p>
      <w:pPr>
        <w:spacing w:after="0" w:line="142"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Labor Laws</w:t>
      </w:r>
      <w:r>
        <w:rPr>
          <w:rFonts w:ascii="Times New Roman" w:cs="Times New Roman" w:eastAsia="Times New Roman" w:hAnsi="Times New Roman"/>
          <w:sz w:val="21"/>
          <w:szCs w:val="21"/>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 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Worker Adjustment and Retraining Notification Act of 1988, and the regulations promulgated thereunder and any similar state, local or foreign Law,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5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Leased Real Property</w:t>
      </w:r>
      <w:r>
        <w:rPr>
          <w:rFonts w:ascii="Times New Roman" w:cs="Times New Roman" w:eastAsia="Times New Roman" w:hAnsi="Times New Roman"/>
          <w:sz w:val="21"/>
          <w:szCs w:val="21"/>
          <w:color w:val="auto"/>
        </w:rPr>
        <w:t>” means all right, title and interest of the Company and its Subsidiaries to any leasehold interests in any real property, together with all buildings, structures, improvements and fixtures thereon.</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with respect to any real, tangible, intangible or mixed property or asset of any Person, any deed of trust, mortgage, lien, security interest, pledge, charge or encumbrance in the nature of security in respect of such real, tangible, intangible or mixed property or asset, including the interests of a vendor or lessor under any conditional sale, capital lease or other title retention arrangement; provided that in no event shall an operating lease be deemed to constitute a Lien.</w:t>
      </w:r>
    </w:p>
    <w:p>
      <w:pPr>
        <w:spacing w:after="0" w:line="150"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effect, change, event or occurrence that has or would reasonably be expected to have, individually or in the aggregate, a material adverse effect on (x) the business, results of operations, assets, liabilities or condition (financial or otherwise) of the Company and its Subsidiaries, taken as a whole or (y) the ability of the Company to (i) consummate the Transactions on a timely basis or (ii) comply with its obligations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purposes of clause (x) above, none of the following, and no effect, change, event or occurrence arising out of, or resulting from, the following, shall constitute or be taken into account in determining whether a Material Adverse Effect has occurred or would reasonably be expected to occur: any effect, change, event or occurrence (A) generally affecting (1) the industry in which the Company and its Subsidiaries operate or (2) the economy, credit or financial or capital markets, in the United States or elsewhere in the world, including changes in interest or exchange rates, or (B) to the extent arising out of, resulting from or attributable to (1) changes or prospective changes in Law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5" w:right="339" w:bottom="1440" w:gutter="0" w:footer="0" w:header="0"/>
        </w:sectPr>
      </w:pPr>
    </w:p>
    <w:bookmarkStart w:id="129" w:name="page130"/>
    <w:bookmarkEnd w:id="129"/>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GAAP or in accounting standards, or any changes or prospective changes in the interpretation or enforcement of any of the foregoing, or any changes or prospective changes in general legal, regulatory or political conditions, in each case occurring after the date hereof, (2) the public announcement of a Spin-Off, this Agreement, the Apollo Transaction Documents, the Transaction Documents or the consummation of the Transactions, (3) acts of war (whether or not declared), sabotage or terrorism, or any escalation or worsening of any such acts of war (whether or not declared), sabotage or terrorism, (4) volcanoes, tsunamis, pandemics, earthquakes, hurricanes, tornados or other natural disasters, (5) any action taken by the Company or its Subsidiaries (w) that is expressly required by this Agreement or the Transaction Documents, (x) to negotiate and consummate a Spin-Off and any Subsequent Transaction (except as otherwise expressly prohibited by this Agreement or the Transaction Documents), (y) with the Investors’ express written consent, or (z) at the Investors’ express prior written request, (6) any decline in the market price, or change in trading volume, of the capital stock of the Company (it being understood that this clause (6) shall not prevent a determination that the underlying cause of any such change or decline is a Material Adverse Effect), (7) any failure to meet any internal or public projections, forecasts, guidance, estimates, milestones, budgets or internal or published financial or operating predictions of revenue, earnings, cash flow or cash position (it being understood that this clause (7) shall not prevent or otherwise affect a determination that the underlying cause of any such failure is a Material Adverse Effect), (8) any change or prospective change in the Company’s credit ratings (it being understood that this clause (8) shall not prevent or otherwise affect a determination that the underlying cause of any such change or prospective change is a Material Adverse Effect), (9) any change resulting or arising from the identity of the Investors or any of their respective Affiliates or (10) any actions taken at the written request of the Investors;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effect, change, event or occurrence referred to in clause (A) or clauses (B)(1), (B)(3) or (B)(4) may be taken into account in determining whether there has been, or would reasonably be expected to be, individually or in the aggregate, a Material Adverse Effect to the extent such effect, change, event or occurrence has a disproportionate adverse effect on the business, results of operations, assets or financial condition of the Company and its Subsidiaries, taken as a whole, as compared to other participants in the industry in which the Company and its Subsidiaries operate (in which case the incremental disproportionate impact or impacts may be taken into account in determining whether there has been, or would reasonably be expected to be, a Material Adverse Effect).</w:t>
      </w:r>
    </w:p>
    <w:p>
      <w:pPr>
        <w:spacing w:after="0" w:line="16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Global Select Market.</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Owned Intellectual Property</w:t>
      </w:r>
      <w:r>
        <w:rPr>
          <w:rFonts w:ascii="Times New Roman" w:cs="Times New Roman" w:eastAsia="Times New Roman" w:hAnsi="Times New Roman"/>
          <w:sz w:val="21"/>
          <w:szCs w:val="21"/>
          <w:color w:val="auto"/>
        </w:rPr>
        <w:t>” means any and all Intellectual Property Rights owned or purported to be owned by the Company or any of its Subsidiaries.</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corporation, limited liability company, partnership, joint venture, association, trust, unincorporated organization or any other entity, including a Governmental Authority.</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Registration Rights Agreement</w:t>
      </w:r>
      <w:r>
        <w:rPr>
          <w:rFonts w:ascii="Times New Roman" w:cs="Times New Roman" w:eastAsia="Times New Roman" w:hAnsi="Times New Roman"/>
          <w:sz w:val="21"/>
          <w:szCs w:val="21"/>
          <w:color w:val="auto"/>
        </w:rPr>
        <w:t xml:space="preserve">” means that certain Registration Rights Agreement to be entered into by the Company and the Investors, the form of which is set forth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Laws</w:t>
      </w:r>
      <w:r>
        <w:rPr>
          <w:rFonts w:ascii="Times New Roman" w:cs="Times New Roman" w:eastAsia="Times New Roman" w:hAnsi="Times New Roman"/>
          <w:sz w:val="21"/>
          <w:szCs w:val="21"/>
          <w:color w:val="auto"/>
        </w:rPr>
        <w:t>” means, collectively, any Laws that are designed or intended to prohibit, restrict or regulate actions having the purpose or effect of monopolization or lessening of competition through merger or acquisition or restraint of trade or that affect foreign investment, outbound investment, foreign exchange, national security or national interest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5" w:right="339" w:bottom="1440" w:gutter="0" w:footer="0" w:header="0"/>
        </w:sectPr>
      </w:pPr>
    </w:p>
    <w:bookmarkStart w:id="130" w:name="page131"/>
    <w:bookmarkEnd w:id="130"/>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47"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Persons</w:t>
      </w:r>
      <w:r>
        <w:rPr>
          <w:rFonts w:ascii="Times New Roman" w:cs="Times New Roman" w:eastAsia="Times New Roman" w:hAnsi="Times New Roman"/>
          <w:sz w:val="21"/>
          <w:szCs w:val="21"/>
          <w:color w:val="auto"/>
        </w:rPr>
        <w:t xml:space="preserve">” means (i) any transferee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and its controlled Affiliates, which list may be updated in writing from time to time by the Board with respect to additional bona fide competitors of the Company (each, a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or (ii) any of the Persons who, as of the time of the applicable proposed Transfer, has been listed on the “SharkWatch 50” list (or, if publication of such list has been discontinued, such other list of significant activist investors selected by the Board to replace such list unless and until such time as the publication of such replacement list is discontinued) during the immediately preceding three (3) year period; provided, that for the purposes hereof, none of Apollo, the Apollo Investor, their respective Affiliates, or any Affiliate of any Investor Party will be deemed a Restricted Person.</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Facility</w:t>
      </w:r>
      <w:r>
        <w:rPr>
          <w:rFonts w:ascii="Times New Roman" w:cs="Times New Roman" w:eastAsia="Times New Roman" w:hAnsi="Times New Roman"/>
          <w:sz w:val="21"/>
          <w:szCs w:val="21"/>
          <w:color w:val="auto"/>
        </w:rPr>
        <w:t>” means the credit facility pursuant to the Credit Agreement.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and the rules and regulations promulgated thereunder.</w:t>
      </w:r>
    </w:p>
    <w:p>
      <w:pPr>
        <w:spacing w:after="0" w:line="181"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Assumed Amount</w:t>
      </w:r>
      <w:r>
        <w:rPr>
          <w:rFonts w:ascii="Times New Roman" w:cs="Times New Roman" w:eastAsia="Times New Roman" w:hAnsi="Times New Roman"/>
          <w:sz w:val="21"/>
          <w:szCs w:val="21"/>
          <w:color w:val="auto"/>
        </w:rPr>
        <w:t>” means, in a Standalone Spin-Off, one-third of the then-outstanding shares of Preferred Stock owned by the Investor Parties.</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SpinCo</w:t>
      </w:r>
      <w:r>
        <w:rPr>
          <w:rFonts w:ascii="Times New Roman" w:cs="Times New Roman" w:eastAsia="Times New Roman" w:hAnsi="Times New Roman"/>
          <w:sz w:val="21"/>
          <w:szCs w:val="21"/>
          <w:color w:val="auto"/>
        </w:rPr>
        <w:t>” means the entity that will directly or indirectly own the applicable assets and liabilities of the Flash Business in connection with the anticipated contribution or transfer of all or substantially all of such business in a Spin-Off.</w:t>
      </w:r>
    </w:p>
    <w:p>
      <w:pPr>
        <w:spacing w:after="0" w:line="142"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Spin-Off</w:t>
      </w:r>
      <w:r>
        <w:rPr>
          <w:rFonts w:ascii="Times New Roman" w:cs="Times New Roman" w:eastAsia="Times New Roman" w:hAnsi="Times New Roman"/>
          <w:sz w:val="21"/>
          <w:szCs w:val="21"/>
          <w:color w:val="auto"/>
        </w:rPr>
        <w:t>” means the consummation of a separation of all or substantially all of the Flash Business through a contribution, directly or indirectly, of the applicable assets and liabilities of such business and/or through a contribution, directly or indirectly, of the applicable legal entities comprising such business to a wholly-owned Subsidiary of the Company and the distribution of all of the outstanding equity securities of such Subsidiary to the holders of Common Stock as of a record date to be determined by the Board, in each case of the foregoing, in a transaction qualifying under Section 355 or Section 361 of the Code, together with any transactions related thereto or contemplated thereby (it being understood that such a distribution shall be a Spin-Off only to the extent that the Company has obtained a Tax Opinion or Ruling with respect to such distribution).</w:t>
      </w:r>
    </w:p>
    <w:p>
      <w:pPr>
        <w:spacing w:after="0" w:line="153"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Spin-Off Transaction Documents</w:t>
      </w:r>
      <w:r>
        <w:rPr>
          <w:rFonts w:ascii="Times New Roman" w:cs="Times New Roman" w:eastAsia="Times New Roman" w:hAnsi="Times New Roman"/>
          <w:sz w:val="21"/>
          <w:szCs w:val="21"/>
          <w:color w:val="auto"/>
        </w:rPr>
        <w:t>” means all transaction documents prepared in connection with, arising out of, or relating to, a Spin-Off or any transactions related thereto or undertaken in connection therewith.</w:t>
      </w:r>
    </w:p>
    <w:p>
      <w:pPr>
        <w:spacing w:after="0" w:line="14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Standalone Spin-Off</w:t>
      </w:r>
      <w:r>
        <w:rPr>
          <w:rFonts w:ascii="Times New Roman" w:cs="Times New Roman" w:eastAsia="Times New Roman" w:hAnsi="Times New Roman"/>
          <w:sz w:val="21"/>
          <w:szCs w:val="21"/>
          <w:color w:val="auto"/>
        </w:rPr>
        <w:t xml:space="preserve"> ” means a Spin-Off where the Company does not enter into a definitive agreement with respect to a Subsequent Transaction prior to the closing of such Spin-Off.</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Subsequent Transaction</w:t>
      </w:r>
      <w:r>
        <w:rPr>
          <w:rFonts w:ascii="Times New Roman" w:cs="Times New Roman" w:eastAsia="Times New Roman" w:hAnsi="Times New Roman"/>
          <w:sz w:val="21"/>
          <w:szCs w:val="21"/>
          <w:color w:val="auto"/>
        </w:rPr>
        <w:t>” means the sale, merger, combination or other transfer of all or substantially all of the Flash Business, in one or more related transactions, to or with a Third Party, which sale, merger, combination or other transfer occurs subsequent to a Spin-Off, but pursuant to a plan agreed to prior to the closing of such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5" w:right="339" w:bottom="1440" w:gutter="0" w:footer="0" w:header="0"/>
        </w:sectPr>
      </w:pPr>
    </w:p>
    <w:bookmarkStart w:id="131" w:name="page132"/>
    <w:bookmarkEnd w:id="131"/>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when used with respect to any Person, means any corporation, limited liability company, partnership, association, trust or other entity of which (x) securities or other ownership interests representing more than 50% of the ordinary voting power (or, in the case of a partnership, more than 50% of the general partnership interests) or (y)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49"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United States federal, state, local or non-United States taxes, fees, levies, duties, tariffs, imposts, and other similar charges imposed by any Governmental Authority, including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together with any interest, penalties, and additions to tax imposed by any Governmental Authority.</w:t>
      </w:r>
    </w:p>
    <w:p>
      <w:pPr>
        <w:spacing w:after="0" w:line="149"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Opinion or Ruling</w:t>
      </w:r>
      <w:r>
        <w:rPr>
          <w:rFonts w:ascii="Times New Roman" w:cs="Times New Roman" w:eastAsia="Times New Roman" w:hAnsi="Times New Roman"/>
          <w:sz w:val="21"/>
          <w:szCs w:val="21"/>
          <w:color w:val="auto"/>
        </w:rPr>
        <w:t>” means a “will” level opinion from national recognized tax counsel or a U.S. Internal Revenue Service private letter ruling to the effect that a distribution meets the requirements of Section 355 or Section 361, as the case may be, and is not a distribution to which Section 355(d) or (e) applies.</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Return</w:t>
      </w:r>
      <w:r>
        <w:rPr>
          <w:rFonts w:ascii="Times New Roman" w:cs="Times New Roman" w:eastAsia="Times New Roman" w:hAnsi="Times New Roman"/>
          <w:sz w:val="21"/>
          <w:szCs w:val="21"/>
          <w:color w:val="auto"/>
        </w:rPr>
        <w:t>” means returns, reports, claims for refund, declarations of estimated Taxes and information statements, including any schedule or attachment thereto or any amendment thereof, with respect to Taxes filed or required to be filed with any Taxing Authority, including consolidated, combined and unitary tax returns.</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Taxing Authority</w:t>
      </w:r>
      <w:r>
        <w:rPr>
          <w:rFonts w:ascii="Times New Roman" w:cs="Times New Roman" w:eastAsia="Times New Roman" w:hAnsi="Times New Roman"/>
          <w:sz w:val="21"/>
          <w:szCs w:val="21"/>
          <w:color w:val="auto"/>
        </w:rPr>
        <w:t>” means any Governmental Authority or any subdivision, agency, commission or entity thereof or any quasi-governmental or private body having jurisdiction over the assessment, determination, collection or imposition of any Tax (including the IRS).</w:t>
      </w:r>
    </w:p>
    <w:p>
      <w:pPr>
        <w:spacing w:after="0" w:line="1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 Person other than the Investors and each of their respective Affiliates.</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means this Agreement, the Certificate of Designations, the Registration Rights Agreement and all other documents, certificates or agreements executed in connection with the transactions contemplated by this Agreement, the Certificate of Designations and the Registration Rights Agreement.</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xml:space="preserve">” means the transactions expressly contemplated by this Agreement and the other Transaction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the avoidance of doubt, “Transactions” shall not include a Spin-Off or any Subsequent Transaction.</w:t>
      </w:r>
    </w:p>
    <w:p>
      <w:pPr>
        <w:spacing w:after="0" w:line="142"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by any Person means, directly or indirectly, to sell, transfer, assign, pledge, encumber, hypothecate or otherwise dispose of or transfer, either voluntarily or involuntarily (by the operation of law or otherwise), or to enter into any contract, option or other arrangement, agreement or understanding with respect to the sale, transfer, assignment, pledge, encumbrance, hypothecation or other disposition or transfer (by the operation of law or otherwise), of any voting interest in any equity securities beneficially owned by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to the contrary in this Agreement, a Transfer shall not include (i) the conversion of one or more shares of Preferred Stock into shares of Common Stock pursuant to the Certificate of Designations, (ii) the redemption or other acquisition of Common Stock or Preferred Stock by the Company or (iii) the transfer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5" w:right="339" w:bottom="1440" w:gutter="0" w:footer="0" w:header="0"/>
        </w:sectPr>
      </w:pPr>
    </w:p>
    <w:bookmarkStart w:id="132" w:name="page133"/>
    <w:bookmarkEnd w:id="132"/>
    <w:p>
      <w:pPr>
        <w:jc w:val="both"/>
        <w:spacing w:after="0" w:line="225" w:lineRule="auto"/>
        <w:rPr>
          <w:sz w:val="20"/>
          <w:szCs w:val="20"/>
          <w:color w:val="auto"/>
        </w:rPr>
      </w:pPr>
      <w:r>
        <w:rPr>
          <w:rFonts w:ascii="Times New Roman" w:cs="Times New Roman" w:eastAsia="Times New Roman" w:hAnsi="Times New Roman"/>
          <w:sz w:val="21"/>
          <w:szCs w:val="21"/>
          <w:color w:val="auto"/>
        </w:rPr>
        <w:t>by an Investor Party) of any limited partnership interests or other equity interests in the Investor Party (or any direct or indirect parent entity of such Investor Party) (provided that if any transferor or transferee referred to in this clause (iii) ceases to be controlled (directly or indirectly) by the Person (directly or indirectly) controlling such Person immediately prior to such transfer, such event shall be deemed to constitute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firstLine="1905"/>
        <w:spacing w:after="0" w:line="244" w:lineRule="auto"/>
        <w:tabs>
          <w:tab w:leader="none" w:pos="252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terms defined in </w:t>
      </w:r>
      <w:r>
        <w:rPr>
          <w:rFonts w:ascii="Times New Roman" w:cs="Times New Roman" w:eastAsia="Times New Roman" w:hAnsi="Times New Roman"/>
          <w:sz w:val="21"/>
          <w:szCs w:val="21"/>
          <w:u w:val="single" w:color="auto"/>
          <w:color w:val="auto"/>
        </w:rPr>
        <w:t>Section 1.01(a)</w:t>
      </w:r>
      <w:r>
        <w:rPr>
          <w:rFonts w:ascii="Times New Roman" w:cs="Times New Roman" w:eastAsia="Times New Roman" w:hAnsi="Times New Roman"/>
          <w:sz w:val="21"/>
          <w:szCs w:val="21"/>
          <w:color w:val="auto"/>
        </w:rPr>
        <w:t>, the following terms have the meanings assigned thereto in the Sections set forth below:</w:t>
      </w: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1"/>
              </w:rPr>
              <w:t>Term</w:t>
            </w:r>
          </w:p>
        </w:tc>
        <w:tc>
          <w:tcPr>
            <w:tcW w:w="794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7"/>
              </w:rPr>
              <w:t>Section</w:t>
            </w:r>
          </w:p>
        </w:tc>
        <w:tc>
          <w:tcPr>
            <w:tcW w:w="180" w:type="dxa"/>
            <w:vAlign w:val="bottom"/>
          </w:tcPr>
          <w:p>
            <w:pPr>
              <w:spacing w:after="0"/>
              <w:rPr>
                <w:sz w:val="21"/>
                <w:szCs w:val="21"/>
                <w:color w:val="auto"/>
              </w:rPr>
            </w:pPr>
          </w:p>
        </w:tc>
      </w:tr>
      <w:tr>
        <w:trPr>
          <w:trHeight w:val="282"/>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Acquired Shares</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2.01</w:t>
            </w:r>
          </w:p>
        </w:tc>
        <w:tc>
          <w:tcPr>
            <w:tcW w:w="180" w:type="dxa"/>
            <w:vAlign w:val="bottom"/>
          </w:tcPr>
          <w:p>
            <w:pPr>
              <w:spacing w:after="0"/>
              <w:rPr>
                <w:sz w:val="24"/>
                <w:szCs w:val="24"/>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Action</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3.07</w:t>
            </w:r>
          </w:p>
        </w:tc>
        <w:tc>
          <w:tcPr>
            <w:tcW w:w="180" w:type="dxa"/>
            <w:vAlign w:val="bottom"/>
          </w:tcPr>
          <w:p>
            <w:pPr>
              <w:spacing w:after="0"/>
              <w:rPr>
                <w:sz w:val="22"/>
                <w:szCs w:val="22"/>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Agreement</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Announcement</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5.03</w:t>
            </w:r>
          </w:p>
        </w:tc>
        <w:tc>
          <w:tcPr>
            <w:tcW w:w="180" w:type="dxa"/>
            <w:vAlign w:val="bottom"/>
          </w:tcPr>
          <w:p>
            <w:pPr>
              <w:spacing w:after="0"/>
              <w:rPr>
                <w:sz w:val="22"/>
                <w:szCs w:val="22"/>
                <w:color w:val="auto"/>
              </w:rPr>
            </w:pP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Balance Sheet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3.05(c)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Bankruptcy and Equity Exception</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3.03(a)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Beneficial Ownership Limitation</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Board Observer</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5.08(h)</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Capitalization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Certificate of Designations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Recitals</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Class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Closing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Disclosure Letter</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Article III</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Preferred Stock</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SEC Documents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3.05(a)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Company Securities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3.02(b)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Contract</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3.03(b)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Conversion Shares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DOJ</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5.01(c)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Excluded Stock</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5.15(a)</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Ex-Im Laws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3.08(e)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Filed SEC Documents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Article III</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Foreclosure</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5.06(e)</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FTC</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5.01(c)</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Hedging Arrangements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5.06(b)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Identified Person</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Identified Persons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Initial Investor Rights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7.03(b)</w:t>
            </w:r>
          </w:p>
        </w:tc>
      </w:tr>
      <w:tr>
        <w:trPr>
          <w:trHeight w:val="264"/>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Intellectual Property Rights</w:t>
            </w:r>
          </w:p>
        </w:tc>
        <w:tc>
          <w:tcPr>
            <w:tcW w:w="66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180" w:type="dxa"/>
            <w:vAlign w:val="bottom"/>
          </w:tcPr>
          <w:p>
            <w:pPr>
              <w:spacing w:after="0"/>
              <w:rPr>
                <w:sz w:val="22"/>
                <w:szCs w:val="22"/>
                <w:color w:val="auto"/>
              </w:rPr>
            </w:pPr>
          </w:p>
        </w:tc>
      </w:tr>
      <w:tr>
        <w:trPr>
          <w:trHeight w:val="276"/>
        </w:trPr>
        <w:tc>
          <w:tcPr>
            <w:tcW w:w="8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Investors</w:t>
            </w:r>
          </w:p>
        </w:tc>
        <w:tc>
          <w:tcPr>
            <w:tcW w:w="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5" w:right="339" w:bottom="1440" w:gutter="0" w:footer="0" w:header="0"/>
        </w:sectPr>
      </w:pPr>
    </w:p>
    <w:bookmarkStart w:id="133" w:name="page134"/>
    <w:bookmarkEnd w:id="133"/>
    <w:tbl>
      <w:tblPr>
        <w:tblLayout w:type="fixed"/>
        <w:tblInd w:w="80" w:type="dxa"/>
        <w:tblCellMar>
          <w:top w:w="0" w:type="dxa"/>
          <w:left w:w="0" w:type="dxa"/>
          <w:bottom w:w="0" w:type="dxa"/>
          <w:right w:w="0" w:type="dxa"/>
        </w:tblCellMar>
      </w:tblP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IT Systems and Data</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3.23</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J.P. Morgan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3.13</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Judgments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3.07</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Laws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Material Contract</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3.09</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Multiemployer Plan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3.14(a)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Open Windows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5.17(c)</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Organizational Documents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5.08(j)</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Participation Portion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w w:val="98"/>
              </w:rPr>
              <w:t>5.15(b)(ii)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Permits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Permitted Loan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5.06(e)</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Preferred Stock</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Recitals</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Proposed Other Financing</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5.15(b)(i)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Proposed Securities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5.15(b)(i)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Purchase Price</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2.01</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Related Companies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Related Company</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5.08(k)</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Required Regulatory Approvals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5.01(a)</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Restricted Issuance Information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w w:val="98"/>
              </w:rPr>
              <w:t>5.15(b)(ii)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Sanctioned Country</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Sanctioned Person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Sanctions</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3.08(b)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Significant Subsidiary</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3.01(b)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Specified Exception</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5.05(h)</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SpinCo Preferred Stock</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5.10(b)(i)</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Subsequent Transaction Announcement</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5.06(b)</w:t>
            </w:r>
          </w:p>
        </w:tc>
      </w:tr>
      <w:tr>
        <w:trPr>
          <w:trHeight w:val="264"/>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Transfer</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1.01</w:t>
            </w:r>
          </w:p>
        </w:tc>
      </w:tr>
      <w:tr>
        <w:trPr>
          <w:trHeight w:val="276"/>
        </w:trPr>
        <w:tc>
          <w:tcPr>
            <w:tcW w:w="5880" w:type="dxa"/>
            <w:vAlign w:val="bottom"/>
          </w:tcPr>
          <w:p>
            <w:pPr>
              <w:spacing w:after="0"/>
              <w:rPr>
                <w:sz w:val="20"/>
                <w:szCs w:val="20"/>
                <w:color w:val="auto"/>
              </w:rPr>
            </w:pPr>
            <w:r>
              <w:rPr>
                <w:rFonts w:ascii="Times New Roman" w:cs="Times New Roman" w:eastAsia="Times New Roman" w:hAnsi="Times New Roman"/>
                <w:sz w:val="21"/>
                <w:szCs w:val="21"/>
                <w:color w:val="auto"/>
              </w:rPr>
              <w:t>USRPHC</w:t>
            </w:r>
          </w:p>
        </w:tc>
        <w:tc>
          <w:tcPr>
            <w:tcW w:w="3420" w:type="dxa"/>
            <w:vAlign w:val="bottom"/>
          </w:tcPr>
          <w:p>
            <w:pPr>
              <w:ind w:left="2540"/>
              <w:spacing w:after="0"/>
              <w:rPr>
                <w:sz w:val="20"/>
                <w:szCs w:val="20"/>
                <w:color w:val="auto"/>
              </w:rPr>
            </w:pPr>
            <w:r>
              <w:rPr>
                <w:rFonts w:ascii="Times New Roman" w:cs="Times New Roman" w:eastAsia="Times New Roman" w:hAnsi="Times New Roman"/>
                <w:sz w:val="21"/>
                <w:szCs w:val="21"/>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1"/>
          <w:szCs w:val="21"/>
          <w:b w:val="1"/>
          <w:bCs w:val="1"/>
          <w:color w:val="auto"/>
        </w:rPr>
        <w:t>Purchase and Sale</w:t>
      </w:r>
    </w:p>
    <w:p>
      <w:pPr>
        <w:spacing w:after="0" w:line="185" w:lineRule="exact"/>
        <w:rPr>
          <w:sz w:val="20"/>
          <w:szCs w:val="20"/>
          <w:color w:val="auto"/>
        </w:rPr>
      </w:pPr>
    </w:p>
    <w:p>
      <w:pPr>
        <w:jc w:val="both"/>
        <w:ind w:firstLine="1583"/>
        <w:spacing w:after="0" w:line="222"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Purchase and Sale</w:t>
      </w:r>
      <w:r>
        <w:rPr>
          <w:rFonts w:ascii="Times New Roman" w:cs="Times New Roman" w:eastAsia="Times New Roman" w:hAnsi="Times New Roman"/>
          <w:sz w:val="21"/>
          <w:szCs w:val="21"/>
          <w:color w:val="auto"/>
        </w:rPr>
        <w:t>. On the terms of this Agreement and subject to the conditions set forth herein, at the Closing, the Investors shall purchase and acquire from the Company an aggregate of 235,000 shares of Preferred Stock, and the Company shall issue, sell and deliver to the Investors, such shares of Preferred Stock (the “</w:t>
      </w:r>
      <w:r>
        <w:rPr>
          <w:rFonts w:ascii="Times New Roman" w:cs="Times New Roman" w:eastAsia="Times New Roman" w:hAnsi="Times New Roman"/>
          <w:sz w:val="21"/>
          <w:szCs w:val="21"/>
          <w:u w:val="single" w:color="auto"/>
          <w:color w:val="auto"/>
        </w:rPr>
        <w:t>Acquired Shares</w:t>
      </w:r>
      <w:r>
        <w:rPr>
          <w:rFonts w:ascii="Times New Roman" w:cs="Times New Roman" w:eastAsia="Times New Roman" w:hAnsi="Times New Roman"/>
          <w:sz w:val="21"/>
          <w:szCs w:val="21"/>
          <w:color w:val="auto"/>
        </w:rPr>
        <w:t>”) for a purchase price per Share equal to $1,000 and an aggregate purchase price of $235,000,000 (such aggregate purchase price,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in each case in the amounts set forth opposite each Investor’s name on Schedule A attached hereto.</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18" w:right="339" w:bottom="1440" w:gutter="0" w:footer="0" w:header="0"/>
        </w:sectPr>
      </w:pPr>
    </w:p>
    <w:bookmarkStart w:id="134" w:name="page135"/>
    <w:bookmarkEnd w:id="134"/>
    <w:p>
      <w:pPr>
        <w:jc w:val="both"/>
        <w:ind w:firstLine="1905"/>
        <w:spacing w:after="0" w:line="225" w:lineRule="auto"/>
        <w:tabs>
          <w:tab w:leader="none" w:pos="252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terms of this Agreement, and subject to the conditions set forth herein, the closing of the sale and purchase of the Acquired Shares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shall occur simultaneously with the execution and delivery of this Agreement at the offices of Gibson, Dunn &amp; Crutcher LLP at 200 Park Avenue, New York, NY 10166 (the date on which the Closing occurs,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Closing:</w:t>
      </w:r>
    </w:p>
    <w:p>
      <w:pPr>
        <w:spacing w:after="0" w:line="180" w:lineRule="exact"/>
        <w:rPr>
          <w:rFonts w:ascii="Times New Roman" w:cs="Times New Roman" w:eastAsia="Times New Roman" w:hAnsi="Times New Roman"/>
          <w:sz w:val="21"/>
          <w:szCs w:val="21"/>
          <w:color w:val="auto"/>
        </w:rPr>
      </w:pPr>
    </w:p>
    <w:p>
      <w:pPr>
        <w:ind w:left="3160" w:hanging="622"/>
        <w:spacing w:after="0"/>
        <w:tabs>
          <w:tab w:leader="none" w:pos="316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w:t>
      </w:r>
    </w:p>
    <w:p>
      <w:pPr>
        <w:spacing w:after="0" w:line="180" w:lineRule="exact"/>
        <w:rPr>
          <w:rFonts w:ascii="Times New Roman" w:cs="Times New Roman" w:eastAsia="Times New Roman" w:hAnsi="Times New Roman"/>
          <w:sz w:val="21"/>
          <w:szCs w:val="21"/>
          <w:color w:val="auto"/>
        </w:rPr>
      </w:pPr>
    </w:p>
    <w:p>
      <w:pPr>
        <w:ind w:firstLine="3171"/>
        <w:spacing w:after="0" w:line="244" w:lineRule="auto"/>
        <w:tabs>
          <w:tab w:leader="none" w:pos="3794"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with the Secretary of State of the State of Delaware the Certificate of Designations, and shall deliver to the Investors a certified copy thereof;</w:t>
      </w:r>
    </w:p>
    <w:p>
      <w:pPr>
        <w:spacing w:after="0" w:line="142" w:lineRule="exact"/>
        <w:rPr>
          <w:rFonts w:ascii="Times New Roman" w:cs="Times New Roman" w:eastAsia="Times New Roman" w:hAnsi="Times New Roman"/>
          <w:sz w:val="21"/>
          <w:szCs w:val="21"/>
          <w:color w:val="auto"/>
        </w:rPr>
      </w:pPr>
    </w:p>
    <w:p>
      <w:pPr>
        <w:jc w:val="both"/>
        <w:ind w:firstLine="3171"/>
        <w:spacing w:after="0" w:line="225" w:lineRule="auto"/>
        <w:tabs>
          <w:tab w:leader="none" w:pos="3794"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the Investors (A) evidence of book-entry shares representing the Acquired Shares credited to book-entry accounts maintained by the transfer agent of the Company, free and clear of all Liens, except restrictions imposed by applicable securities Laws, the Company Charter Documents and the Transaction Documents, and (B) the Registration Rights Agreement, duly executed by the Company; and</w:t>
      </w:r>
    </w:p>
    <w:p>
      <w:pPr>
        <w:spacing w:after="0" w:line="149" w:lineRule="exact"/>
        <w:rPr>
          <w:rFonts w:ascii="Times New Roman" w:cs="Times New Roman" w:eastAsia="Times New Roman" w:hAnsi="Times New Roman"/>
          <w:sz w:val="21"/>
          <w:szCs w:val="21"/>
          <w:color w:val="auto"/>
        </w:rPr>
      </w:pPr>
    </w:p>
    <w:p>
      <w:pPr>
        <w:ind w:firstLine="3171"/>
        <w:spacing w:after="0" w:line="244" w:lineRule="auto"/>
        <w:tabs>
          <w:tab w:leader="none" w:pos="3794"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 the expense reimbursement amount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to the Investors (or their respective designees), by offset against the Purchase Price; and</w:t>
      </w:r>
    </w:p>
    <w:p>
      <w:pPr>
        <w:spacing w:after="0" w:line="142" w:lineRule="exact"/>
        <w:rPr>
          <w:rFonts w:ascii="Times New Roman" w:cs="Times New Roman" w:eastAsia="Times New Roman" w:hAnsi="Times New Roman"/>
          <w:sz w:val="21"/>
          <w:szCs w:val="21"/>
          <w:color w:val="auto"/>
        </w:rPr>
      </w:pPr>
    </w:p>
    <w:p>
      <w:pPr>
        <w:jc w:val="both"/>
        <w:ind w:firstLine="2538"/>
        <w:spacing w:after="0" w:line="222" w:lineRule="auto"/>
        <w:tabs>
          <w:tab w:leader="none" w:pos="315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Investors shall (1) pay the Purchase Price (net of the expense reimbursement amount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to the Company, by wire transfer in immediately available U.S. federal funds, to the account designated by the Company in writing at least one (1) Business Day prior to the Closing Date, (2) deliver to the Company the Registration Rights Agreement, duly executed by the Investors and/or their applicable Affiliates and (3) deliver to the Company or its paying agent a duly executed, valid, accurate and properly completed IRS Form W-9 or an appropriate IRS Form W-8, as applicable.</w:t>
      </w:r>
    </w:p>
    <w:p>
      <w:pPr>
        <w:spacing w:after="0" w:line="1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8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Company</w:t>
      </w:r>
    </w:p>
    <w:p>
      <w:pPr>
        <w:spacing w:after="0" w:line="18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The Company represents and warrants to the Investors that, except as (A) set forth in the confidential disclosure letter delivered by the Company to the Investors prior to the execution of this Agreement (the “</w:t>
      </w:r>
      <w:r>
        <w:rPr>
          <w:rFonts w:ascii="Times New Roman" w:cs="Times New Roman" w:eastAsia="Times New Roman" w:hAnsi="Times New Roman"/>
          <w:sz w:val="21"/>
          <w:szCs w:val="21"/>
          <w:u w:val="single" w:color="auto"/>
          <w:color w:val="auto"/>
        </w:rPr>
        <w:t>Company Disclosure Letter</w:t>
      </w:r>
      <w:r>
        <w:rPr>
          <w:rFonts w:ascii="Times New Roman" w:cs="Times New Roman" w:eastAsia="Times New Roman" w:hAnsi="Times New Roman"/>
          <w:sz w:val="21"/>
          <w:szCs w:val="21"/>
          <w:color w:val="auto"/>
        </w:rPr>
        <w:t>”) (it being understood that any information, item or matter set forth on one section or subsection of the Company Disclosure Letter shall only be deemed disclosure with respect to, and shall only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or (B) disclosed in any report, schedule, form, statement or other document (including exhibits) filed with, or furnished to, the SEC and publicly available on or after July 2, 2022 and prior to the date hereof (the “</w:t>
      </w:r>
      <w:r>
        <w:rPr>
          <w:rFonts w:ascii="Times New Roman" w:cs="Times New Roman" w:eastAsia="Times New Roman" w:hAnsi="Times New Roman"/>
          <w:sz w:val="21"/>
          <w:szCs w:val="21"/>
          <w:u w:val="single" w:color="auto"/>
          <w:color w:val="auto"/>
        </w:rPr>
        <w:t>Filed SEC Documents</w:t>
      </w:r>
      <w:r>
        <w:rPr>
          <w:rFonts w:ascii="Times New Roman" w:cs="Times New Roman" w:eastAsia="Times New Roman" w:hAnsi="Times New Roman"/>
          <w:sz w:val="21"/>
          <w:szCs w:val="21"/>
          <w:color w:val="auto"/>
        </w:rPr>
        <w:t xml:space="preserve">”), other than any disclosures in any such Filed SEC Document contained in the “Risk Factors” section thereof or any forward-looking statements within the meaning of the Securities Act or the Exchange Act thereof (it being acknowledged that nothing disclosed in the Filed SEC Documents shall be deemed to qualify or modify the representations and warranties set forth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3.18</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u w:val="single" w:color="auto"/>
          <w:color w:val="auto"/>
        </w:rPr>
        <w:t>Organization; Standing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5" w:right="339" w:bottom="1440" w:gutter="0" w:footer="0" w:header="0"/>
        </w:sectPr>
      </w:pPr>
    </w:p>
    <w:bookmarkStart w:id="135" w:name="page136"/>
    <w:bookmarkEnd w:id="135"/>
    <w:p>
      <w:pPr>
        <w:jc w:val="both"/>
        <w:ind w:firstLine="1905"/>
        <w:spacing w:after="0" w:line="218" w:lineRule="auto"/>
        <w:tabs>
          <w:tab w:leader="none" w:pos="252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 corporation duly incorporated and validly existing and in good standing under the Laws of the State of Delaware and has all requisite corporate power and corporate authority necessary to carry on its business as it is now being conducted, except (other than with respect to the Company’s due organization, valid existence and good standing) as would not, individually or in the aggregate, reasonably be expected to have a Material Adverse Effect. The Company is duly licensed or qualified as a foreign corporation for the transaction of business and is in good standing (if applicable) under the Laws of each other jurisdiction in which it owns or leases properties or conducts any business so as to require such qualification. True and complete copies of the Company Charter Documents are included in the Filed SEC Documents.</w:t>
      </w:r>
    </w:p>
    <w:p>
      <w:pPr>
        <w:spacing w:after="0" w:line="152"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Company’s Subsidiaries that is a “significant subsidiary” (as defined in Rule 405 under the Securities Act) (each, a “</w:t>
      </w:r>
      <w:r>
        <w:rPr>
          <w:rFonts w:ascii="Times New Roman" w:cs="Times New Roman" w:eastAsia="Times New Roman" w:hAnsi="Times New Roman"/>
          <w:sz w:val="21"/>
          <w:szCs w:val="21"/>
          <w:u w:val="single" w:color="auto"/>
          <w:color w:val="auto"/>
        </w:rPr>
        <w:t>Significant Subsidiary</w:t>
      </w:r>
      <w:r>
        <w:rPr>
          <w:rFonts w:ascii="Times New Roman" w:cs="Times New Roman" w:eastAsia="Times New Roman" w:hAnsi="Times New Roman"/>
          <w:sz w:val="21"/>
          <w:szCs w:val="21"/>
          <w:color w:val="auto"/>
        </w:rPr>
        <w:t>”) is duly organized, validly existing and in good standing (where such concept is recognized under applicable Law) under the Laws of the jurisdiction of its organization, except where the failure to be so organized, existing and in good standing would not, individually or in the aggregate, reasonably be expected to have a Material Adverse Effect.</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0" w:lineRule="auto"/>
        <w:tabs>
          <w:tab w:leader="none" w:pos="252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stock of the Company consists of 450,000,000 shares of Common Stock and 5,000,000 shares of preferred stock, par value $0.01 per share (“</w:t>
      </w:r>
      <w:r>
        <w:rPr>
          <w:rFonts w:ascii="Times New Roman" w:cs="Times New Roman" w:eastAsia="Times New Roman" w:hAnsi="Times New Roman"/>
          <w:sz w:val="21"/>
          <w:szCs w:val="21"/>
          <w:u w:val="single" w:color="auto"/>
          <w:color w:val="auto"/>
        </w:rPr>
        <w:t>Company Preferred Stock</w:t>
      </w:r>
      <w:r>
        <w:rPr>
          <w:rFonts w:ascii="Times New Roman" w:cs="Times New Roman" w:eastAsia="Times New Roman" w:hAnsi="Times New Roman"/>
          <w:sz w:val="21"/>
          <w:szCs w:val="21"/>
          <w:color w:val="auto"/>
        </w:rPr>
        <w:t>”). At the close of business on January 27, 2023 (the “</w:t>
      </w:r>
      <w:r>
        <w:rPr>
          <w:rFonts w:ascii="Times New Roman" w:cs="Times New Roman" w:eastAsia="Times New Roman" w:hAnsi="Times New Roman"/>
          <w:sz w:val="21"/>
          <w:szCs w:val="21"/>
          <w:u w:val="single" w:color="auto"/>
          <w:color w:val="auto"/>
        </w:rPr>
        <w:t>Capitalization Date</w:t>
      </w:r>
      <w:r>
        <w:rPr>
          <w:rFonts w:ascii="Times New Roman" w:cs="Times New Roman" w:eastAsia="Times New Roman" w:hAnsi="Times New Roman"/>
          <w:sz w:val="21"/>
          <w:szCs w:val="21"/>
          <w:color w:val="auto"/>
        </w:rPr>
        <w:t>”), (i) 319,327,848 shares of Common Stock were issued and outstanding, (ii) 25,319,401 shares of Common Stock were reserved and available for issuance pursuant to the Company Stock Plans, (iii) 8,289,015 shares of Common Stock were reserved and available for issuance under the Company ESPP, (iv) 12,632,063 shares of Common Stock could be issued upon conversion of the Convertible Notes and (v) no shares of Company Preferred Stock were issued or outstanding.</w:t>
      </w:r>
    </w:p>
    <w:p>
      <w:pPr>
        <w:spacing w:after="0" w:line="149" w:lineRule="exact"/>
        <w:rPr>
          <w:rFonts w:ascii="Times New Roman" w:cs="Times New Roman" w:eastAsia="Times New Roman" w:hAnsi="Times New Roman"/>
          <w:sz w:val="21"/>
          <w:szCs w:val="21"/>
          <w:color w:val="auto"/>
        </w:rPr>
      </w:pPr>
    </w:p>
    <w:p>
      <w:pPr>
        <w:jc w:val="both"/>
        <w:ind w:firstLine="1905"/>
        <w:spacing w:after="0" w:line="215" w:lineRule="auto"/>
        <w:tabs>
          <w:tab w:leader="none" w:pos="252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described in this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of the Capitalization Date, there were (i) no outstanding shares of capital stock of, or other equity or voting interests in, the Company, (ii) no outstanding securities convertible into or exchangeable for shares of capital stock of, or other equity or voting interests in, the Company other than obligations under the Company Stock Plans, (iii) no outstanding options, warrants, rights or other commitments or agreements to acquire from the Company or any Subsidiary, or that obligate the Company or any Subsidiary to issue, any capital stock of, or other equity or voting interests (or voting debt) in, or any securities convertible into or exchangeable for shares of capital stock of, or other equity or voting interests in, the Company other than obligations under the Company Stock Plans, (iv) no obligations of the Company or any Subsidiary to grant, extend or enter into any subscription, warrant, right, debt, convertible or exchangeable security or other similar agreement or commitment relating to any capital stock of, or other equity or voting interests in, the Company (the items in clauses (i), (ii), (iii) and (iv) being referred to collectively as “</w:t>
      </w:r>
      <w:r>
        <w:rPr>
          <w:rFonts w:ascii="Times New Roman" w:cs="Times New Roman" w:eastAsia="Times New Roman" w:hAnsi="Times New Roman"/>
          <w:sz w:val="21"/>
          <w:szCs w:val="21"/>
          <w:u w:val="single" w:color="auto"/>
          <w:color w:val="auto"/>
        </w:rPr>
        <w:t>Company Securities</w:t>
      </w:r>
      <w:r>
        <w:rPr>
          <w:rFonts w:ascii="Times New Roman" w:cs="Times New Roman" w:eastAsia="Times New Roman" w:hAnsi="Times New Roman"/>
          <w:sz w:val="21"/>
          <w:szCs w:val="21"/>
          <w:color w:val="auto"/>
        </w:rPr>
        <w:t>”) and (v) no other obligations by the Company or any of its Subsidiaries to make any payments based on the price or value of any Company Securities.</w:t>
      </w:r>
    </w:p>
    <w:p>
      <w:pPr>
        <w:spacing w:after="0" w:line="152"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there are no outstanding agreements of any kind which obligate the Company or any of its Subsidiaries to repurchase, redeem or otherwise acquire any Company Securities, or obligate the Company to grant, extend or enter into any such agreements relating to any Company Securities, including any agreements granting any preemptive rights, subscription rights, anti-dilutive rights, rights of first refusal or similar rights with respect to any Company Securities. None of the Company or any Subsidiary of the Company is a party to any stockholders’ agreement, voting trust agreement, registration rights agreement or other similar agreement or understanding relating to any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65" w:right="339" w:bottom="1440" w:gutter="0" w:footer="0" w:header="0"/>
        </w:sectPr>
      </w:pPr>
    </w:p>
    <w:bookmarkStart w:id="136" w:name="page137"/>
    <w:bookmarkEnd w:id="136"/>
    <w:p>
      <w:pPr>
        <w:jc w:val="both"/>
        <w:spacing w:after="0" w:line="231" w:lineRule="auto"/>
        <w:rPr>
          <w:sz w:val="20"/>
          <w:szCs w:val="20"/>
          <w:color w:val="auto"/>
        </w:rPr>
      </w:pPr>
      <w:r>
        <w:rPr>
          <w:rFonts w:ascii="Times New Roman" w:cs="Times New Roman" w:eastAsia="Times New Roman" w:hAnsi="Times New Roman"/>
          <w:sz w:val="21"/>
          <w:szCs w:val="21"/>
          <w:color w:val="auto"/>
        </w:rPr>
        <w:t>or any other agreement relating to the disposition, voting or dividends with respect to any Company Securities. All outstanding shares of Common Stock have been duly authorized and validly issued and are fully paid, nonassessable and free of preemptive rights.</w:t>
      </w:r>
    </w:p>
    <w:p>
      <w:pPr>
        <w:spacing w:after="0" w:line="147" w:lineRule="exact"/>
        <w:rPr>
          <w:sz w:val="20"/>
          <w:szCs w:val="20"/>
          <w:color w:val="auto"/>
        </w:rPr>
      </w:pPr>
    </w:p>
    <w:p>
      <w:pPr>
        <w:jc w:val="both"/>
        <w:ind w:firstLine="1905"/>
        <w:spacing w:after="0" w:line="216" w:lineRule="auto"/>
        <w:tabs>
          <w:tab w:leader="none" w:pos="25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Acquired Shares and the shares of Common Stock issuable upon conversion of the Acquired Shares will be, when issued, duly authorized and validly issued, fully paid and nonassessable and issued in compliance with all applicable federal and state securities laws, and such shares will not be issued in violation of any purchase option, call option, preemptive right, resale right, subscription right, right of first refusal or similar right, and will be free and clear of all Liens, except restrictions imposed by the Securities Act and any applicable foreign and state securities Laws, Liens contemplated by the Transaction Documents and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The Acquired Shares, when issued, and the shares of Common Stock issuable upon conversion of the Acquired Shares, if and when issued, will have the terms and conditions and entitle the holders thereof to the rights set forth in the Company Charter Documents, as amended by the Certificate of Designations. The shares of Common Stock issuable upon conversion of the Acquired Shares have been duly reserved for such issuance.</w:t>
      </w:r>
    </w:p>
    <w:p>
      <w:pPr>
        <w:spacing w:after="0" w:line="154"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all of the outstanding shares of capital stock of, or other equity or voting interests in, each Subsidiary of the Company (except for directors’ qualifying shares or the like) are owned directly or indirectly, beneficially and of record, by the Company free and clear of all Liens.</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3.03</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all necessary corporate power and corporate authority to execute and deliver this Agreement and the other Transaction Documents and to perform its obligations hereunder and thereunder and to consummate the Transactions. The execution, delivery and performance by the Company of this Agreement and the other Transaction Documents, and the consummation by it of the Transactions, have been duly authorized by the Board and the Board has duly reserved (x) the shares of Preferred Stock to be issued in accordance with the terms and conditions of the Certificate of Designations and (y) the shares of Common Stock to be issued upon any conversion of shares of Preferred Stock into Common Stock. No other action on the part of the Company or its stockholders is necessary to authorize the execution, delivery and performance by the Company of this Agreement and the other Transaction Documents and the consummation by it of the Transactions. This Agreement has been duly executed and delivered by the Company and, assuming due authorization, execution and delivery hereof by the Investors,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21"/>
          <w:szCs w:val="21"/>
          <w:u w:val="single" w:color="auto"/>
          <w:color w:val="auto"/>
        </w:rPr>
        <w:t>Bankruptcy and Equity Exception</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905"/>
        <w:spacing w:after="0" w:line="217" w:lineRule="auto"/>
        <w:tabs>
          <w:tab w:leader="none" w:pos="252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or the other Transaction Documents by the Company, nor the consummation by the Company of the Transactions, nor performance or compliance by the Company with any of the terms or provisions hereof or thereof, will (i) conflict with or violate any provision of the Company Charter Documents, or (ii) assuming that the authorizations, consents and approvals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are obtained at or prior to the Closing Date (other than the authorizations, consents and approvals referred to in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xml:space="preserve">, which are to be obtained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and the filings referred to in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are made and any waiting periods thereunder have terminated or expired at or prior to the Closing Date (other than the filings referred to in </w:t>
      </w:r>
      <w:r>
        <w:rPr>
          <w:rFonts w:ascii="Times New Roman" w:cs="Times New Roman" w:eastAsia="Times New Roman" w:hAnsi="Times New Roman"/>
          <w:sz w:val="21"/>
          <w:szCs w:val="21"/>
          <w:u w:val="single" w:color="auto"/>
          <w:color w:val="auto"/>
        </w:rPr>
        <w:t>Section 3.04(b)</w:t>
      </w:r>
      <w:r>
        <w:rPr>
          <w:rFonts w:ascii="Times New Roman" w:cs="Times New Roman" w:eastAsia="Times New Roman" w:hAnsi="Times New Roman"/>
          <w:sz w:val="21"/>
          <w:szCs w:val="21"/>
          <w:color w:val="auto"/>
        </w:rPr>
        <w:t>, which are to be made and any waiting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65" w:right="339" w:bottom="1440" w:gutter="0" w:footer="0" w:header="0"/>
        </w:sectPr>
      </w:pPr>
    </w:p>
    <w:bookmarkStart w:id="137" w:name="page138"/>
    <w:bookmarkEnd w:id="137"/>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thereunder are to terminate or expire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 violate any Law or Judgment applicable to the Company or any of its Subsidiaries or (y) violate or constitute a default (or constitute an event which, with notice or lapse of time or both, would violate or constitute a default) or accelerate the performance required by the Company under any of the terms or provisions of any loan or credit agreement, indenture, debenture, note, bond, mortgage, deed of trust, lease, sublease, license, contract or other agreement (a “</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to which the Company or any of its Subsidiaries is a party or accelerate the Company’s or, if applicable, any of its Subsidiaries’ obligations under any such Contract, except, in the case of clause (ii), as would not, individually or in the aggregate, reasonably be expected to have a Material Adverse Effect.</w:t>
      </w:r>
    </w:p>
    <w:p>
      <w:pPr>
        <w:spacing w:after="0" w:line="153"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Except for (a) the filing of the Certificate of Designations with the Secretary of State of the State for Delaware, (b) filings required under, and compliance with other applicable requirements of the HSR Act and any other applicable Regulatory Laws, (c) filings with the SEC under the Securities Act and Exchange Act and (d) compliance with any applicable state securities or blue sky laws, no consent or approval of or filing, license, permit or authorization, declaration or registration with, or notice to any Governmental Authority or any stock market or stock exchange is necessary for the execution and delivery of this Agreement and the other Transaction Documents by the Company, the performance by the Company of its obligations hereunder and thereunder and the consummation by the Company of the Transactions, other than such other consents, approvals, filings, licenses, permits or authorizations, declarations or registrations that, if not obtained, made or given, would not, individually or in the aggregate, reasonably be expected to have a Material Adverse Effect.</w:t>
      </w:r>
    </w:p>
    <w:p>
      <w:pPr>
        <w:spacing w:after="0" w:line="15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3.05</w:t>
      </w:r>
      <w:r>
        <w:rPr>
          <w:sz w:val="20"/>
          <w:szCs w:val="20"/>
          <w:color w:val="auto"/>
        </w:rPr>
        <w:tab/>
      </w:r>
      <w:r>
        <w:rPr>
          <w:rFonts w:ascii="Times New Roman" w:cs="Times New Roman" w:eastAsia="Times New Roman" w:hAnsi="Times New Roman"/>
          <w:sz w:val="21"/>
          <w:szCs w:val="21"/>
          <w:u w:val="single" w:color="auto"/>
          <w:color w:val="auto"/>
        </w:rPr>
        <w:t>Company SEC Documents; Undisclosed Liabilities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3" w:lineRule="auto"/>
        <w:tabs>
          <w:tab w:leader="none" w:pos="252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filed with the SEC, on a timely basis, all required reports, schedules, forms, statements and other documents required to be filed by the Company with the SEC pursuant to the Exchange Act since July 3, 2021 (collectively, the “</w:t>
      </w:r>
      <w:r>
        <w:rPr>
          <w:rFonts w:ascii="Times New Roman" w:cs="Times New Roman" w:eastAsia="Times New Roman" w:hAnsi="Times New Roman"/>
          <w:sz w:val="21"/>
          <w:szCs w:val="21"/>
          <w:u w:val="single" w:color="auto"/>
          <w:color w:val="auto"/>
        </w:rPr>
        <w:t>Company SEC Documents</w:t>
      </w:r>
      <w:r>
        <w:rPr>
          <w:rFonts w:ascii="Times New Roman" w:cs="Times New Roman" w:eastAsia="Times New Roman" w:hAnsi="Times New Roman"/>
          <w:sz w:val="21"/>
          <w:szCs w:val="21"/>
          <w:color w:val="auto"/>
        </w:rPr>
        <w:t>”). As of their respective SEC filing dates, the Company SEC Documents complied in all material respects with the requirements of the Securities Act, the Exchange Act 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eligible to file a registration statement on Form S-3,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 Each of the certifications and statements relating to the Company SEC Documents required by: (A) Rule 13a-14 or Rule 15d-14 under the Exchange Act; (B) 18 U.S.C. §1350 (Section 906 of the Sarbanes-Oxley Act); or (C) any other rule or regulation promulgated by the SEC or applicable to the Company SEC Documents is accurate and complete, and complies as to form and content in all material respects with all applicable Laws.</w:t>
      </w:r>
    </w:p>
    <w:p>
      <w:pPr>
        <w:spacing w:after="0" w:line="158"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65" w:right="339" w:bottom="1440" w:gutter="0" w:footer="0" w:header="0"/>
        </w:sectPr>
      </w:pPr>
    </w:p>
    <w:bookmarkStart w:id="138" w:name="page139"/>
    <w:bookmarkEnd w:id="138"/>
    <w:p>
      <w:pPr>
        <w:jc w:val="both"/>
        <w:spacing w:after="0" w:line="222" w:lineRule="auto"/>
        <w:rPr>
          <w:sz w:val="20"/>
          <w:szCs w:val="20"/>
          <w:color w:val="auto"/>
        </w:rPr>
      </w:pPr>
      <w:r>
        <w:rPr>
          <w:rFonts w:ascii="Times New Roman" w:cs="Times New Roman" w:eastAsia="Times New Roman" w:hAnsi="Times New Roman"/>
          <w:sz w:val="21"/>
          <w:szCs w:val="21"/>
          <w:color w:val="auto"/>
        </w:rPr>
        <w:t>statements, as permitted by Form 10-Q of the SEC or other rules and regulations of the SEC) applied on a consistent basis during the periods involved (except (i) as may be indicated in the notes thereto or (ii)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49" w:lineRule="exact"/>
        <w:rPr>
          <w:sz w:val="20"/>
          <w:szCs w:val="20"/>
          <w:color w:val="auto"/>
        </w:rPr>
      </w:pPr>
    </w:p>
    <w:p>
      <w:pPr>
        <w:jc w:val="both"/>
        <w:ind w:firstLine="1905"/>
        <w:spacing w:after="0" w:line="218" w:lineRule="auto"/>
        <w:tabs>
          <w:tab w:leader="none" w:pos="252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any liabilities of any nature (whether accrued, absolute, contingent or otherwise) that would be required under GAAP, as in effect on the date hereof, to be reflected on a consolidated balance sheet of the Company (including the notes thereto) except liabilities (i) reflected or reserved against in the balance sheet (or the notes thereto) of the Company and its Subsidiaries as of July 1, 2022 (the “</w:t>
      </w:r>
      <w:r>
        <w:rPr>
          <w:rFonts w:ascii="Times New Roman" w:cs="Times New Roman" w:eastAsia="Times New Roman" w:hAnsi="Times New Roman"/>
          <w:sz w:val="21"/>
          <w:szCs w:val="21"/>
          <w:u w:val="single" w:color="auto"/>
          <w:color w:val="auto"/>
        </w:rPr>
        <w:t>Balance Sheet Date</w:t>
      </w:r>
      <w:r>
        <w:rPr>
          <w:rFonts w:ascii="Times New Roman" w:cs="Times New Roman" w:eastAsia="Times New Roman" w:hAnsi="Times New Roman"/>
          <w:sz w:val="21"/>
          <w:szCs w:val="21"/>
          <w:color w:val="auto"/>
        </w:rPr>
        <w:t>”) included in the Filed SEC Documents, (ii) incurred after the Balance Sheet Date in the ordinary course of business (other than any such liabilities related to any breach of Contract, violation of Law or tort) or (iii) as would not, individually or in the aggregate, reasonably be expected to have a Material Adverse Effect.</w:t>
      </w:r>
    </w:p>
    <w:p>
      <w:pPr>
        <w:spacing w:after="0" w:line="152" w:lineRule="exact"/>
        <w:rPr>
          <w:rFonts w:ascii="Times New Roman" w:cs="Times New Roman" w:eastAsia="Times New Roman" w:hAnsi="Times New Roman"/>
          <w:sz w:val="21"/>
          <w:szCs w:val="21"/>
          <w:color w:val="auto"/>
        </w:rPr>
      </w:pPr>
    </w:p>
    <w:p>
      <w:pPr>
        <w:jc w:val="both"/>
        <w:ind w:firstLine="1905"/>
        <w:spacing w:after="0" w:line="221" w:lineRule="auto"/>
        <w:tabs>
          <w:tab w:leader="none" w:pos="252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established and maintains, and at all times since July 3, 2021 has maintained, disclosure controls and procedures and a system of internal controls over financial reporting (as such terms are defined in paragraphs</w:t>
      </w:r>
    </w:p>
    <w:p>
      <w:pPr>
        <w:spacing w:after="0" w:line="1" w:lineRule="exact"/>
        <w:rPr>
          <w:rFonts w:ascii="Times New Roman" w:cs="Times New Roman" w:eastAsia="Times New Roman" w:hAnsi="Times New Roman"/>
          <w:sz w:val="21"/>
          <w:szCs w:val="21"/>
          <w:color w:val="auto"/>
        </w:rPr>
      </w:pPr>
    </w:p>
    <w:p>
      <w:pPr>
        <w:jc w:val="both"/>
        <w:ind w:firstLine="6"/>
        <w:spacing w:after="0" w:line="214" w:lineRule="auto"/>
        <w:tabs>
          <w:tab w:leader="none" w:pos="29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(f), respectively, of Rule 13a-15 under the Exchange Act) as required by Rule 13a-15 under the Exchange Act. Neither the Company nor, to the Knowledge of the Company, the Company’s independent registered public accounting firm, has identified or been made aware of “significant deficiencies” or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The Company is, and has been at all times since July 3, 2021, in compliance in all material respects with the applicable listing requirements and corporate governance rules and regulations of the NASDAQ.</w:t>
      </w:r>
    </w:p>
    <w:p>
      <w:pPr>
        <w:spacing w:after="0" w:line="153"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 Since July 2, 2022, except for the execution and performance of this Agreement and any other agreements contemplated hereby and the discussions, negotiations and transactions related thereto, there has not been any Material Adverse Effect.</w:t>
      </w:r>
    </w:p>
    <w:p>
      <w:pPr>
        <w:spacing w:after="0" w:line="147"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Legal Proceedings</w:t>
      </w:r>
      <w:r>
        <w:rPr>
          <w:rFonts w:ascii="Times New Roman" w:cs="Times New Roman" w:eastAsia="Times New Roman" w:hAnsi="Times New Roman"/>
          <w:sz w:val="21"/>
          <w:szCs w:val="21"/>
          <w:color w:val="auto"/>
        </w:rPr>
        <w:t>. Except as would not, individually or in the aggregate, reasonably be expected to have a Material Adverse Effect, there is no (a) pending legal or administrative proceeding, suit, audit, charge, claim, investigation, arbitration or action (an “</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against the Company or any of its Subsidiaries and, to the Knowledge of the Company, no such Actions have been threatened by any Governmental Authority or any other Person or (b) outstanding order, judgment, injunction, ruling, writ or decree of any Governmental Authority (“</w:t>
      </w:r>
      <w:r>
        <w:rPr>
          <w:rFonts w:ascii="Times New Roman" w:cs="Times New Roman" w:eastAsia="Times New Roman" w:hAnsi="Times New Roman"/>
          <w:sz w:val="21"/>
          <w:szCs w:val="21"/>
          <w:u w:val="single" w:color="auto"/>
          <w:color w:val="auto"/>
        </w:rPr>
        <w:t>Judgments</w:t>
      </w:r>
      <w:r>
        <w:rPr>
          <w:rFonts w:ascii="Times New Roman" w:cs="Times New Roman" w:eastAsia="Times New Roman" w:hAnsi="Times New Roman"/>
          <w:sz w:val="21"/>
          <w:szCs w:val="21"/>
          <w:color w:val="auto"/>
        </w:rPr>
        <w:t>”) imposed upon the Company or any of its Subsidiaries, in each case, by or before any Governmental Authority.</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3.08</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0" w:lineRule="auto"/>
        <w:tabs>
          <w:tab w:leader="none" w:pos="2529"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the Company and each of its Subsidiaries are and since July 3, 2021 (or such later date as the applicable Laws may have come into effect) have been, in compliance with all state or federal laws, common law, statutes, ordinances, codes, rules or regulations, orders, executive orders, judgments, injunctions, governmental guidelines or interpretations having the force of law, Permits, decrees, or other similar requirement enacted, adopted, promulgated, or applied by any Governmental Authority (“</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or Judgments,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65" w:right="339" w:bottom="1440" w:gutter="0" w:footer="0" w:header="0"/>
        </w:sectPr>
      </w:pPr>
    </w:p>
    <w:bookmarkStart w:id="139" w:name="page140"/>
    <w:bookmarkEnd w:id="139"/>
    <w:p>
      <w:pPr>
        <w:jc w:val="both"/>
        <w:spacing w:after="0" w:line="220" w:lineRule="auto"/>
        <w:rPr>
          <w:sz w:val="20"/>
          <w:szCs w:val="20"/>
          <w:color w:val="auto"/>
        </w:rPr>
      </w:pPr>
      <w:r>
        <w:rPr>
          <w:rFonts w:ascii="Times New Roman" w:cs="Times New Roman" w:eastAsia="Times New Roman" w:hAnsi="Times New Roman"/>
          <w:sz w:val="21"/>
          <w:szCs w:val="21"/>
          <w:color w:val="auto"/>
        </w:rPr>
        <w:t>each case, that are applicable to the Company or any of its Subsidiaries, including the General Data Protection Regulation (EU) 2016/679, the Privacy and Electronic Communications Directive (2002/58/EC), and any national legislation implementing or supplementing the foregoing in the European Union, to the extent applicable. The Company and each of its Subsidiaries hold all licenses, franchises, permits, certificates, approvals and authorizations from Governmental Authorities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necessary for the lawful conduct of their respective businesses, except where the failure to hold the same would not individually or in the aggregate, reasonably be expected to have a Material Adverse Effect.</w:t>
      </w:r>
    </w:p>
    <w:p>
      <w:pPr>
        <w:spacing w:after="0" w:line="149" w:lineRule="exact"/>
        <w:rPr>
          <w:sz w:val="20"/>
          <w:szCs w:val="20"/>
          <w:color w:val="auto"/>
        </w:rPr>
      </w:pPr>
    </w:p>
    <w:p>
      <w:pPr>
        <w:jc w:val="both"/>
        <w:ind w:firstLine="1905"/>
        <w:spacing w:after="0"/>
        <w:tabs>
          <w:tab w:leader="none" w:pos="252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nor any of its Subsidiaries nor, to the Knowledge of the Company, any directors, officers, agents, employees or affiliates of the Company or any of its Subsidiaries is currently a person with whom dealings are prohibited under, or who is a subject of, any economic or other trade sanctions administered or enforced by the Office of Foreign Assets Control of the U.S. Department of the Treasury, the U.S. Department of Commerce or the U.S. Department of State, the United Nations Security Council, the European Union or His Majesty’s Treasury of the United Kingdom, or other relevant sanctions authority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and any such person, a “</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nor is the Company or any of its Subsidiaries located or organized in a country or territory that is the subject or target of country-wide or territory-wide Sanctions (currently, Cuba, Iran, North Korea, Syria and the Crimea, Donetsk and Luhansk regions of Ukraine) (each, a “</w:t>
      </w:r>
      <w:r>
        <w:rPr>
          <w:rFonts w:ascii="Times New Roman" w:cs="Times New Roman" w:eastAsia="Times New Roman" w:hAnsi="Times New Roman"/>
          <w:sz w:val="21"/>
          <w:szCs w:val="21"/>
          <w:u w:val="single" w:color="auto"/>
          <w:color w:val="auto"/>
        </w:rPr>
        <w:t>Sanctioned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Country</w:t>
      </w:r>
      <w:r>
        <w:rPr>
          <w:rFonts w:ascii="Times New Roman" w:cs="Times New Roman" w:eastAsia="Times New Roman" w:hAnsi="Times New Roman"/>
          <w:sz w:val="21"/>
          <w:szCs w:val="21"/>
          <w:color w:val="auto"/>
        </w:rPr>
        <w:t>”). The Company and its Subsidiaries have not for the past two years engaged in any dealings or transactions in violation of Sanctions.</w:t>
      </w:r>
    </w:p>
    <w:p>
      <w:pPr>
        <w:spacing w:after="0" w:line="147" w:lineRule="exact"/>
        <w:rPr>
          <w:rFonts w:ascii="Times New Roman" w:cs="Times New Roman" w:eastAsia="Times New Roman" w:hAnsi="Times New Roman"/>
          <w:sz w:val="21"/>
          <w:szCs w:val="21"/>
          <w:color w:val="auto"/>
        </w:rPr>
      </w:pPr>
    </w:p>
    <w:p>
      <w:pPr>
        <w:jc w:val="both"/>
        <w:ind w:firstLine="1905"/>
        <w:spacing w:after="0" w:line="221" w:lineRule="auto"/>
        <w:tabs>
          <w:tab w:leader="none" w:pos="252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nor any of its Subsidiaries, nor, to the Knowledge of the Company, any director, officer, agent, employee, affiliate or other person associated with or acting on behalf of the Company or any of its Subsidiaries has</w:t>
      </w:r>
    </w:p>
    <w:p>
      <w:pPr>
        <w:spacing w:after="0" w:line="1" w:lineRule="exact"/>
        <w:rPr>
          <w:rFonts w:ascii="Times New Roman" w:cs="Times New Roman" w:eastAsia="Times New Roman" w:hAnsi="Times New Roman"/>
          <w:sz w:val="21"/>
          <w:szCs w:val="21"/>
          <w:color w:val="auto"/>
        </w:rPr>
      </w:pPr>
    </w:p>
    <w:p>
      <w:pPr>
        <w:ind w:left="260" w:hanging="254"/>
        <w:spacing w:after="0" w:line="209" w:lineRule="auto"/>
        <w:tabs>
          <w:tab w:leader="none" w:pos="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any corporate funds for any unlawful contribution, gift, entertainment or other unlawful expense relating to political activity;</w:t>
      </w:r>
    </w:p>
    <w:p>
      <w:pPr>
        <w:jc w:val="both"/>
        <w:ind w:firstLine="6"/>
        <w:spacing w:after="0" w:line="219" w:lineRule="auto"/>
        <w:tabs>
          <w:tab w:leader="none" w:pos="34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made any direct or indirect unlawful payment or benefit to any foreign or domestic government official or employee from corporate funds; or (iii) violated or is in violation of the United States Foreign Corrupt Practices Act of 1977, as amended. The Company and its Subsidiaries have instituted, maintained and enforced and will continue to maintain and enforce policies and procedures designed to promote compliance with all applicable anti-bribery and anti-corruption laws.</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operations of the Company and its Subsidiaries are and have been conducted at all times in material compliance with applicable anti-money laundering laws, and no action, suit or proceeding by or before any court or governmental agency, authority or body or any arbitrator involving the Company or any of its Subsidiaries with respect to any applicable anti-money laundering law is pending or, to the Knowledge of the Company, threatened.</w:t>
      </w:r>
    </w:p>
    <w:p>
      <w:pPr>
        <w:spacing w:after="0" w:line="149"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9"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operations of the Company and its Subsidiaries are and have been conducted at all times in material compliance with all Laws applicable to the Company and its Subsidiaries relating to export, reexport, transfer, and import controls, including the Export Administration Regulations, the International Traffic in Arms Regulations, and the customs and import Laws administered by U.S. Customs and Border Protection (collectively, “</w:t>
      </w:r>
      <w:r>
        <w:rPr>
          <w:rFonts w:ascii="Times New Roman" w:cs="Times New Roman" w:eastAsia="Times New Roman" w:hAnsi="Times New Roman"/>
          <w:sz w:val="21"/>
          <w:szCs w:val="21"/>
          <w:u w:val="single" w:color="auto"/>
          <w:color w:val="auto"/>
        </w:rPr>
        <w:t>Ex-Im Laws</w:t>
      </w:r>
      <w:r>
        <w:rPr>
          <w:rFonts w:ascii="Times New Roman" w:cs="Times New Roman" w:eastAsia="Times New Roman" w:hAnsi="Times New Roman"/>
          <w:sz w:val="21"/>
          <w:szCs w:val="21"/>
          <w:color w:val="auto"/>
        </w:rPr>
        <w:t>”), and no action, suit or proceeding by or before any court or governmental agency, authority or body or any arbitrator involving the Company or any of its Subsidiaries with respect to any applicable anti-money laundering law is pending or, to the Knowledge of the Company,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-3111500</wp:posOffset>
            </wp:positionV>
            <wp:extent cx="419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spacing w:after="0" w:line="129"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 Each Contract that is material to the business of the Company and its Subsidiaries, taken as a whole (each, a “</w:t>
      </w:r>
      <w:r>
        <w:rPr>
          <w:rFonts w:ascii="Times New Roman" w:cs="Times New Roman" w:eastAsia="Times New Roman" w:hAnsi="Times New Roman"/>
          <w:sz w:val="21"/>
          <w:szCs w:val="21"/>
          <w:u w:val="single" w:color="auto"/>
          <w:color w:val="auto"/>
        </w:rPr>
        <w:t>Material Contract</w:t>
      </w:r>
      <w:r>
        <w:rPr>
          <w:rFonts w:ascii="Times New Roman" w:cs="Times New Roman" w:eastAsia="Times New Roman" w:hAnsi="Times New Roman"/>
          <w:sz w:val="21"/>
          <w:szCs w:val="21"/>
          <w:color w:val="auto"/>
        </w:rPr>
        <w:t>”), and to which the Company or any of its Subsidiaries is a party or by which the Company,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65" w:right="339" w:bottom="1440" w:gutter="0" w:footer="0" w:header="0"/>
        </w:sectPr>
      </w:pPr>
    </w:p>
    <w:bookmarkStart w:id="140" w:name="page141"/>
    <w:bookmarkEnd w:id="140"/>
    <w:p>
      <w:pPr>
        <w:jc w:val="both"/>
        <w:spacing w:after="0" w:line="218" w:lineRule="auto"/>
        <w:rPr>
          <w:sz w:val="20"/>
          <w:szCs w:val="20"/>
          <w:color w:val="auto"/>
        </w:rPr>
      </w:pPr>
      <w:r>
        <w:rPr>
          <w:rFonts w:ascii="Times New Roman" w:cs="Times New Roman" w:eastAsia="Times New Roman" w:hAnsi="Times New Roman"/>
          <w:sz w:val="21"/>
          <w:szCs w:val="21"/>
          <w:color w:val="auto"/>
        </w:rPr>
        <w:t>or any of their respective properties or assets is bound is valid, binding and enforceable on the Company and any of its Subsidiaries to the extent such Person is a party thereto, as applicable, and to the Knowledge of the Company, each other party thereto, and is in full force and effect, except where the failure to be valid, binding or in full force and effect, individually or in the aggregate, has not had and would not reasonably be expected to have a Material Adverse Effect. The Company and each of its Subsidiaries, and, to the Knowledge of the Company, any other party thereto, is in compliance in all material respects with all Material Contracts and has performed all obligations required to be performed by it, except where such noncompliance, individually or in the aggregate, has not had and would not reasonably be expected to have a Material Adverse Effect.</w:t>
      </w:r>
    </w:p>
    <w:p>
      <w:pPr>
        <w:spacing w:after="0" w:line="153"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 Except as would not, individually or in the aggregate, reasonably be expected to have a Material Adverse Effect: (a) the Company and each of its Subsidiaries has prepared (or caused to be prepared) and timely filed (taking into account valid extensions of time within which to file) all Tax Returns required to be filed by any of them, and all such filed Tax Returns (taking into account all amendments thereto) are true, complete and accurate, (b) all Taxes owed by the Company and each of its Subsidiaries that are due (whether or not shown on any Tax Return) have been timely paid except for Taxes which are being contested in good faith by appropriate proceedings which have been adequately reserved against in accordance with GAAP,</w:t>
      </w:r>
    </w:p>
    <w:p>
      <w:pPr>
        <w:spacing w:after="0" w:line="4" w:lineRule="exact"/>
        <w:rPr>
          <w:sz w:val="20"/>
          <w:szCs w:val="20"/>
          <w:color w:val="auto"/>
        </w:rPr>
      </w:pPr>
    </w:p>
    <w:p>
      <w:pPr>
        <w:jc w:val="both"/>
        <w:ind w:firstLine="6"/>
        <w:spacing w:after="0" w:line="216" w:lineRule="auto"/>
        <w:tabs>
          <w:tab w:leader="none" w:pos="29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examination or audit of any Tax Return relating to any Taxes of the Company or any of its Subsidiaries or with respect to any Taxes due from or with respect to the Company or any of its Subsidiaries by any Taxing Authority is currently in progress or threatened in writing, (d) none of the Company or any of its Subsidiaries has engaged in, or has any liability or obligation with respect to, any “listed transaction” within the meaning of Treasury Regulations Section 1.6011-4(b)(2) and (e) neither the Company nor any of its Subsidiaries has distributed stock of another Person, or has had its stock distributed by another Person, in a transaction that was or was purported or intended to be governed in whole or in part by Section 355 or 361 of the Code.</w:t>
      </w:r>
    </w:p>
    <w:p>
      <w:pPr>
        <w:spacing w:after="0" w:line="149"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u w:val="single" w:color="auto"/>
          <w:color w:val="auto"/>
        </w:rPr>
        <w:t>Real Property Holding Corporation</w:t>
      </w:r>
      <w:r>
        <w:rPr>
          <w:rFonts w:ascii="Times New Roman" w:cs="Times New Roman" w:eastAsia="Times New Roman" w:hAnsi="Times New Roman"/>
          <w:sz w:val="21"/>
          <w:szCs w:val="21"/>
          <w:color w:val="auto"/>
        </w:rPr>
        <w:t>. The Company is not currently and has not been during the prior five (5) years a United States real property holding corporation (a “</w:t>
      </w:r>
      <w:r>
        <w:rPr>
          <w:rFonts w:ascii="Times New Roman" w:cs="Times New Roman" w:eastAsia="Times New Roman" w:hAnsi="Times New Roman"/>
          <w:sz w:val="21"/>
          <w:szCs w:val="21"/>
          <w:u w:val="single" w:color="auto"/>
          <w:color w:val="auto"/>
        </w:rPr>
        <w:t>USRPHC</w:t>
      </w:r>
      <w:r>
        <w:rPr>
          <w:rFonts w:ascii="Times New Roman" w:cs="Times New Roman" w:eastAsia="Times New Roman" w:hAnsi="Times New Roman"/>
          <w:sz w:val="21"/>
          <w:szCs w:val="21"/>
          <w:color w:val="auto"/>
        </w:rPr>
        <w:t>”) within the meaning of Section 897 of the Code. If the Flash Business were, as of the date hereof, owned by a single domestic corporation which held no other businesses or assets, such corporation would not be a USRPHC within the meaning of Section 897 of the Code.</w:t>
      </w:r>
    </w:p>
    <w:p>
      <w:pPr>
        <w:spacing w:after="0" w:line="150"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u w:val="single" w:color="auto"/>
          <w:color w:val="auto"/>
        </w:rPr>
        <w:t>No Rights Agreement; Anti-Takeover Provisions</w:t>
      </w:r>
      <w:r>
        <w:rPr>
          <w:rFonts w:ascii="Times New Roman" w:cs="Times New Roman" w:eastAsia="Times New Roman" w:hAnsi="Times New Roman"/>
          <w:sz w:val="21"/>
          <w:szCs w:val="21"/>
          <w:color w:val="auto"/>
        </w:rPr>
        <w:t>. The Company is not party to a stockholder rights agreement, “poison pill” or similar anti-takeover agreement or plan.</w:t>
      </w:r>
    </w:p>
    <w:p>
      <w:pPr>
        <w:spacing w:after="0" w:line="14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3.13 </w:t>
      </w:r>
      <w:r>
        <w:rPr>
          <w:rFonts w:ascii="Times New Roman" w:cs="Times New Roman" w:eastAsia="Times New Roman" w:hAnsi="Times New Roman"/>
          <w:sz w:val="21"/>
          <w:szCs w:val="21"/>
          <w:u w:val="single" w:color="auto"/>
          <w:color w:val="auto"/>
        </w:rPr>
        <w:t>Brokers and Other Advisors</w:t>
      </w:r>
      <w:r>
        <w:rPr>
          <w:rFonts w:ascii="Times New Roman" w:cs="Times New Roman" w:eastAsia="Times New Roman" w:hAnsi="Times New Roman"/>
          <w:sz w:val="21"/>
          <w:szCs w:val="21"/>
          <w:color w:val="auto"/>
        </w:rPr>
        <w:t xml:space="preserve"> . Except for Qatalyst Partners LP (“</w:t>
      </w:r>
      <w:r>
        <w:rPr>
          <w:rFonts w:ascii="Times New Roman" w:cs="Times New Roman" w:eastAsia="Times New Roman" w:hAnsi="Times New Roman"/>
          <w:sz w:val="21"/>
          <w:szCs w:val="21"/>
          <w:u w:val="single" w:color="auto"/>
          <w:color w:val="auto"/>
        </w:rPr>
        <w:t>Qatalyst</w:t>
      </w:r>
      <w:r>
        <w:rPr>
          <w:rFonts w:ascii="Times New Roman" w:cs="Times New Roman" w:eastAsia="Times New Roman" w:hAnsi="Times New Roman"/>
          <w:sz w:val="21"/>
          <w:szCs w:val="21"/>
          <w:color w:val="auto"/>
        </w:rPr>
        <w:t>”), Lazard Ltd (“</w:t>
      </w:r>
      <w:r>
        <w:rPr>
          <w:rFonts w:ascii="Times New Roman" w:cs="Times New Roman" w:eastAsia="Times New Roman" w:hAnsi="Times New Roman"/>
          <w:sz w:val="21"/>
          <w:szCs w:val="21"/>
          <w:u w:val="single" w:color="auto"/>
          <w:color w:val="auto"/>
        </w:rPr>
        <w:t>Lazard</w:t>
      </w:r>
      <w:r>
        <w:rPr>
          <w:rFonts w:ascii="Times New Roman" w:cs="Times New Roman" w:eastAsia="Times New Roman" w:hAnsi="Times New Roman"/>
          <w:sz w:val="21"/>
          <w:szCs w:val="21"/>
          <w:color w:val="auto"/>
        </w:rPr>
        <w:t>”) and J.P. Morgan Securities LLC (“</w:t>
      </w:r>
      <w:r>
        <w:rPr>
          <w:rFonts w:ascii="Times New Roman" w:cs="Times New Roman" w:eastAsia="Times New Roman" w:hAnsi="Times New Roman"/>
          <w:sz w:val="21"/>
          <w:szCs w:val="21"/>
          <w:u w:val="single" w:color="auto"/>
          <w:color w:val="auto"/>
        </w:rPr>
        <w:t>J.P. Morgan</w:t>
      </w:r>
      <w:r>
        <w:rPr>
          <w:rFonts w:ascii="Times New Roman" w:cs="Times New Roman" w:eastAsia="Times New Roman" w:hAnsi="Times New Roman"/>
          <w:sz w:val="21"/>
          <w:szCs w:val="21"/>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150"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3.14</w:t>
      </w:r>
      <w:r>
        <w:rPr>
          <w:sz w:val="20"/>
          <w:szCs w:val="20"/>
          <w:color w:val="auto"/>
        </w:rPr>
        <w:tab/>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22" w:lineRule="auto"/>
        <w:tabs>
          <w:tab w:leader="none" w:pos="252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individually or in the aggregate, reasonably be expected to have a Material Adverse Effect, (i) each material Company Plan has been established, operated, maintained and administered in accordance with its terms and in compliance with the applicable provisions of ERISA, the Code and other applicable Laws; (ii) no material Company Plan subject to the Laws outside of the United States which covers individual service providers located outside of the United States has any unfunded or underfunded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65" w:right="339" w:bottom="1440" w:gutter="0" w:footer="0" w:header="0"/>
        </w:sectPr>
      </w:pPr>
    </w:p>
    <w:bookmarkStart w:id="141" w:name="page142"/>
    <w:bookmarkEnd w:id="141"/>
    <w:p>
      <w:pPr>
        <w:jc w:val="both"/>
        <w:spacing w:after="0" w:line="214" w:lineRule="auto"/>
        <w:rPr>
          <w:sz w:val="20"/>
          <w:szCs w:val="20"/>
          <w:color w:val="auto"/>
        </w:rPr>
      </w:pPr>
      <w:r>
        <w:rPr>
          <w:rFonts w:ascii="Times New Roman" w:cs="Times New Roman" w:eastAsia="Times New Roman" w:hAnsi="Times New Roman"/>
          <w:sz w:val="21"/>
          <w:szCs w:val="21"/>
          <w:color w:val="auto"/>
        </w:rPr>
        <w:t>or obligations; and (iii) to the Knowledge of the Company, each “multiemployer plan” (as defined in Section 4001 of ERISA) to which the Company, its Subsidiaries or their respective ERISA Affiliates contributes (a “</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is in compliance with ERISA. Except as would not, individually or in the aggregate, have a Material Adverse Effect, (i) no “reportable event” (within the meaning of Section 4043(c) of ERISA) has occurred or, to the Knowledge of the Company, is reasonably expected to occur with respect to any “employee pension benefit plan” (as defined under Section 3(2) of ERISA) established or maintained by the Company, its Subsidiaries or any of their respective ERISA Affiliates; (ii) no “single-employer plan” (as defined in Section 4001 of ERISA) established or maintained by the Company, its Subsidiaries or any of their respective ERISA Affiliates, if such “single-employer plan” were terminated, would have any “amount of unfunded benefit liabilities” (as defined under Section 4001 of ERISA); (iii) neither the Company, its Subsidiaries nor any of their respective ERISA Affiliates has incurred or, to the Knowledge of the Company, reasonably expects to incur (A) any liability under Title IV of ERISA with respect to termination of, or withdrawal from, any “employee benefit plan” or (B) any liability under Section 412 of the Code or tax imposed by Section 4971, 4975 or 4980B of the Code; and (iv) each “employee pension benefit plan” established or maintained by the Company, its Subsidiaries or any of their respective ERISA Affiliates that is intended to be qualified under Section 401 of the Code is so qualified and, to the Knowledge of the Company, nothing has occurred, whether by action or failure to act, which would reasonably be expected to cause the loss of such qualification.</w:t>
      </w:r>
    </w:p>
    <w:p>
      <w:pPr>
        <w:spacing w:after="0" w:line="147" w:lineRule="exact"/>
        <w:rPr>
          <w:sz w:val="20"/>
          <w:szCs w:val="20"/>
          <w:color w:val="auto"/>
        </w:rPr>
      </w:pPr>
    </w:p>
    <w:p>
      <w:pPr>
        <w:jc w:val="both"/>
        <w:ind w:firstLine="1905"/>
        <w:spacing w:after="0" w:line="222" w:lineRule="auto"/>
        <w:tabs>
          <w:tab w:leader="none" w:pos="25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and delivery of this Agreement nor the consummation of the transactions contemplated hereby will (either alone or together with the occurrence of a subsequent event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termination of employment or service)) (i) result in any material payment becoming due, or materially increase the amount of any compensation or benefits due, to any current or former employee of the Company and its Subsidiaries or with respect to any Company Plan; or (ii) result in the acceleration of the time of payment or vesting of any compensation or benefits.</w:t>
      </w:r>
    </w:p>
    <w:p>
      <w:pPr>
        <w:spacing w:after="0" w:line="149"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3.15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The Company and its Subsidiaries, taken as a whole, have not sustained since the date of the latest audited financial statements any material loss or interference with its business from (i) fire, explosion, flood or other calamity, whether or not covered by insurance, (ii) any labor dispute or court or governmental action, order or decree or (iii) any Actions against the Company or any of its Subsidiaries alleging violation of any Labor Laws or breach of any collective bargaining agreement. Except as would not, individually or in the aggregate, reasonably be expected to have a Material Adverse Effect, each of the Company and its Subsidiaries is in compliance with all Labor Laws. Except as disclosed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neither the Company nor any of its Subsidiaries is party to or bound by any collective bargaining agreement or Contract with any labor organization, labor union, or works council, nor to the Knowledge of the Company, are there any union organizational activities or proceedings to organize any employees of the Company or any of its Subsidiaries. There are no active, nor, to the Knowledge of the Company, threatened, labor strikes, slowdowns, work stoppages, pickets, walkouts, lockouts or other collective labor actions by or with respect to the employees of the Company or any of its Subsidiaries.</w:t>
      </w:r>
    </w:p>
    <w:p>
      <w:pPr>
        <w:spacing w:after="0" w:line="153"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 xml:space="preserve">Section 3.16 </w:t>
      </w:r>
      <w:r>
        <w:rPr>
          <w:rFonts w:ascii="Times New Roman" w:cs="Times New Roman" w:eastAsia="Times New Roman" w:hAnsi="Times New Roman"/>
          <w:sz w:val="21"/>
          <w:szCs w:val="21"/>
          <w:u w:val="single" w:color="auto"/>
          <w:color w:val="auto"/>
        </w:rPr>
        <w:t>Sale of Securities</w:t>
      </w:r>
      <w:r>
        <w:rPr>
          <w:rFonts w:ascii="Times New Roman" w:cs="Times New Roman" w:eastAsia="Times New Roman" w:hAnsi="Times New Roman"/>
          <w:sz w:val="21"/>
          <w:szCs w:val="21"/>
          <w:color w:val="auto"/>
        </w:rPr>
        <w:t xml:space="preserve">. Based in part on the representations and warranties set forth in </w:t>
      </w:r>
      <w:r>
        <w:rPr>
          <w:rFonts w:ascii="Times New Roman" w:cs="Times New Roman" w:eastAsia="Times New Roman" w:hAnsi="Times New Roman"/>
          <w:sz w:val="21"/>
          <w:szCs w:val="21"/>
          <w:u w:val="single" w:color="auto"/>
          <w:color w:val="auto"/>
        </w:rPr>
        <w:t>Section 4.05</w:t>
      </w:r>
      <w:r>
        <w:rPr>
          <w:rFonts w:ascii="Times New Roman" w:cs="Times New Roman" w:eastAsia="Times New Roman" w:hAnsi="Times New Roman"/>
          <w:sz w:val="21"/>
          <w:szCs w:val="21"/>
          <w:color w:val="auto"/>
        </w:rPr>
        <w:t>, the sale and offer of the Acquired Shares pursuant to this Agreement is exempt from the registration and prospectus delivery requirements of the Securities Act.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Preferred Stock, and neither the Company nor, to the Knowledge of the Company, any Person acting on its behalf has made any offers or sales of any security or solicited any offers to buy any security, under circumstances that would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65" w:right="339" w:bottom="1440" w:gutter="0" w:footer="0" w:header="0"/>
        </w:sectPr>
      </w:pPr>
    </w:p>
    <w:bookmarkStart w:id="142" w:name="page143"/>
    <w:bookmarkEnd w:id="142"/>
    <w:p>
      <w:pPr>
        <w:jc w:val="both"/>
        <w:spacing w:after="0" w:line="225" w:lineRule="auto"/>
        <w:rPr>
          <w:sz w:val="20"/>
          <w:szCs w:val="20"/>
          <w:color w:val="auto"/>
        </w:rPr>
      </w:pPr>
      <w:r>
        <w:rPr>
          <w:rFonts w:ascii="Times New Roman" w:cs="Times New Roman" w:eastAsia="Times New Roman" w:hAnsi="Times New Roman"/>
          <w:sz w:val="21"/>
          <w:szCs w:val="21"/>
          <w:color w:val="auto"/>
        </w:rPr>
        <w:t>the offering or issuance of Preferred Stock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Preferred Stock under this Agreement to be integrated with other offerings by the Company.</w:t>
      </w:r>
    </w:p>
    <w:p>
      <w:pPr>
        <w:spacing w:after="0" w:line="150"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u w:val="single" w:color="auto"/>
          <w:color w:val="auto"/>
        </w:rPr>
        <w:t>Listing and Maintenance Requirements</w:t>
      </w:r>
      <w:r>
        <w:rPr>
          <w:rFonts w:ascii="Times New Roman" w:cs="Times New Roman" w:eastAsia="Times New Roman" w:hAnsi="Times New Roman"/>
          <w:sz w:val="21"/>
          <w:szCs w:val="21"/>
          <w:color w:val="auto"/>
        </w:rPr>
        <w:t>. The Common Stock is registered pursuant to Section 12(b) of the Exchange Act and listed on the NASDAQ, and the Company has taken no action designed to, or which to the Knowledge of the Company is reasonably likely to have the effect of, terminating the registration of the Common Stock under the Exchange Act or delisting the Common Stock from the NASDAQ, nor has the Company received as of the date of this Agreement any notification that the SEC or the NASDAQ is contemplating terminating such registration or listing or otherwise.</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3.18 </w:t>
      </w:r>
      <w:r>
        <w:rPr>
          <w:rFonts w:ascii="Times New Roman" w:cs="Times New Roman" w:eastAsia="Times New Roman" w:hAnsi="Times New Roman"/>
          <w:sz w:val="21"/>
          <w:szCs w:val="21"/>
          <w:u w:val="single" w:color="auto"/>
          <w:color w:val="auto"/>
        </w:rPr>
        <w:t>Status of Securities</w:t>
      </w:r>
      <w:r>
        <w:rPr>
          <w:rFonts w:ascii="Times New Roman" w:cs="Times New Roman" w:eastAsia="Times New Roman" w:hAnsi="Times New Roman"/>
          <w:sz w:val="21"/>
          <w:szCs w:val="21"/>
          <w:color w:val="auto"/>
        </w:rPr>
        <w:t xml:space="preserve">. As a result of the approval by the Board referred to in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 the Acquired Shares to be issued pursuant to this Agreement, and the shares of Common Stock to be issued upon conversion of the Acquired Shares, have been duly authorized and reserved for issuance by all necessary corporate action of the Company. The respective rights, preferences, privileges, and restrictions of the Preferred Stock and the Common Stock are as stated in the Company Charter Documents (including the Certificate of Designations).</w:t>
      </w:r>
    </w:p>
    <w:p>
      <w:pPr>
        <w:spacing w:after="0" w:line="149"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3.19 </w:t>
      </w:r>
      <w:r>
        <w:rPr>
          <w:rFonts w:ascii="Times New Roman" w:cs="Times New Roman" w:eastAsia="Times New Roman" w:hAnsi="Times New Roman"/>
          <w:sz w:val="21"/>
          <w:szCs w:val="21"/>
          <w:u w:val="single" w:color="auto"/>
          <w:color w:val="auto"/>
        </w:rPr>
        <w:t>NASDAQ Notification</w:t>
      </w:r>
      <w:r>
        <w:rPr>
          <w:rFonts w:ascii="Times New Roman" w:cs="Times New Roman" w:eastAsia="Times New Roman" w:hAnsi="Times New Roman"/>
          <w:sz w:val="21"/>
          <w:szCs w:val="21"/>
          <w:color w:val="auto"/>
        </w:rPr>
        <w:t>. The Company has provided the applicable listing of additional shares notification to NASDAQ, and received oral confirmation from NASDAQ that the listing of additional shares review process has been completed, and NASDAQ has not made any objection (not subsequently withdrawn) that the consummation of the transactions contemplated by this Agreement would violate NASDAQ listing rules applicable to the Company and that if not withdrawn would result in the delisting of the shares of Common Stock issuable upon the conversion of the Preferred Stock issued to the Investors pursuant to this Agreement and pursuant to the Certificate of Designations.</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3.20</w:t>
      </w:r>
      <w:r>
        <w:rPr>
          <w:sz w:val="20"/>
          <w:szCs w:val="20"/>
          <w:color w:val="auto"/>
        </w:rPr>
        <w:tab/>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(i) the Credit Agreement, (ii) the Indenture or (iii) the Delayed Draw Facility, the Company is not party to any Contract, and is not subject to any provision in the Company Charter Documents or other governing documents or resolutions of the Board that, in each case, by its terms restricts, limits, prohibits or prevents the Company from paying dividends in form and the amounts contemplated by the Certificate of Designations.</w:t>
      </w:r>
    </w:p>
    <w:p>
      <w:pPr>
        <w:spacing w:after="0" w:line="149"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and, to the Knowledge of the Company, each of the other parties thereto, are not in material breach of, default or violation under, the Revolving Credit Facility or the Indenture and no event has occurred that with notice or lapse of time, or both, would constitute such a material breach, default or violation.</w:t>
      </w:r>
    </w:p>
    <w:p>
      <w:pPr>
        <w:spacing w:after="0" w:line="147"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 xml:space="preserve">Section 3.21 </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The Company and its Subsidiaries collectively have good and marketable title in fee simple to all real property and good and marketable title to all items of personal property owned by them which are material to the business of the Company and its Subsidiaries, taken as a whole, in each case free and clear of all liens, encumbrances and defects, except such as do not materially interfere with the use of such property by the Company and its Subsidiaries; and any material real property and buildings held under lease by the Company and its Subsidiaries are held by them under valid, subsisting and enforceable leases with such exceptions as are not material and do not materially interfere with the use of such property by the Company and its Subsidiaries. Except as, individually or in the aggregate,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65" w:right="339" w:bottom="1440" w:gutter="0" w:footer="0" w:header="0"/>
        </w:sectPr>
      </w:pPr>
    </w:p>
    <w:bookmarkStart w:id="143" w:name="page144"/>
    <w:bookmarkEnd w:id="143"/>
    <w:p>
      <w:pPr>
        <w:jc w:val="both"/>
        <w:spacing w:after="0" w:line="231" w:lineRule="auto"/>
        <w:rPr>
          <w:sz w:val="20"/>
          <w:szCs w:val="20"/>
          <w:color w:val="auto"/>
        </w:rPr>
      </w:pPr>
      <w:r>
        <w:rPr>
          <w:rFonts w:ascii="Times New Roman" w:cs="Times New Roman" w:eastAsia="Times New Roman" w:hAnsi="Times New Roman"/>
          <w:sz w:val="21"/>
          <w:szCs w:val="21"/>
          <w:color w:val="auto"/>
        </w:rPr>
        <w:t>not had and would not reasonably be expected to have a Material Adverse Effect, there have been no releases of hazardous substances at, on, or under any facility currently owned by the Company or any of its Subsidiaries or any Leased Real Property that would reasonably be expected to give rise to liability under applicable Laws regarding pollution or protection of the environment.</w:t>
      </w:r>
    </w:p>
    <w:p>
      <w:pPr>
        <w:spacing w:after="0" w:line="147"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3.22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Except as would not, individually or in the aggregate, reasonably be expected to have a Material Adverse Effect (i) the Company and each of its Subsidiaries possess valid and enforceable rights to use all trademarks, logos, trade names, Internet domain names, patent rights, copyrights, trade secrets, know-how, rights in computer software and other similar intellectual property rights (together with all goodwill associated with, any registrations of, or applications for registration of any of the foregoing, collectively, “</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that are used in the operation of the Company and its Subsidiaries as currently conducted; (ii) all Owned Intellectual Property are valid and enforceable; (iii) to the Knowledge of the Company, no Person has infringed upon, misappropriated or otherwise violated any of the Owned Intellectual Property; (iv) the conduct of the business of the Company and its Subsidiaries has not infringed, misappropriated, or violated at any time since July 3, 2021, and does not infringe, misappropriate or violate, the Intellectual Property Rights of any other Person; (v) the Company and its Subsidiaries have taken commercially reasonable steps to maintain the confidentiality of the material trade secrets owned (or purported to be owned) by the Company or any of its Subsidiaries; (vi) no material source code owned (or purported to be owned) by the Company or any of its Subsidiaries has been disclosed or otherwise made available to any Person (excluding an escrow agent), and, to the Knowledge of the Company, no circumstance or condition exists that (with or without notice or lapse of time, or both) would result in a requirement that any such source code be disclosed, licensed or made available to any third party (other than an escrow agent); and (vii) neither the Company nor any of its Subsidiaries has received any notice of any third-party allegations or claims that (A) the Company or any of its Subsidiaries or the conduct of their respective businesses infringe or conflict with asserted Intellectual Property Rights of others or (B) challenge the ownership or validity of any Owned Intellectual Property.</w:t>
      </w:r>
    </w:p>
    <w:p>
      <w:pPr>
        <w:spacing w:after="0" w:line="15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3.23 </w:t>
      </w:r>
      <w:r>
        <w:rPr>
          <w:rFonts w:ascii="Times New Roman" w:cs="Times New Roman" w:eastAsia="Times New Roman" w:hAnsi="Times New Roman"/>
          <w:sz w:val="21"/>
          <w:szCs w:val="21"/>
          <w:u w:val="single" w:color="auto"/>
          <w:color w:val="auto"/>
        </w:rPr>
        <w:t>Data Security; Privacy</w:t>
      </w:r>
      <w:r>
        <w:rPr>
          <w:rFonts w:ascii="Times New Roman" w:cs="Times New Roman" w:eastAsia="Times New Roman" w:hAnsi="Times New Roman"/>
          <w:sz w:val="21"/>
          <w:szCs w:val="21"/>
          <w:color w:val="auto"/>
        </w:rPr>
        <w:t>. Except as would not, individually or in the aggregate, reasonably be expected to have a Material Adverse Effect, (i) to the Knowledge of the Company and its Subsidiaries, since July 3, 2021, there has been no security breach or incident, unauthorized access or disclosure, or other compromise of the Company’s and its Subsidiaries’ information technology and computer systems, networks, equipment, hardware, software, data and databases, including all personally identifiable information and sensitive and confidential data maintained, processed or stored by the Company and its Subsidiaries (collectively, “</w:t>
      </w:r>
      <w:r>
        <w:rPr>
          <w:rFonts w:ascii="Times New Roman" w:cs="Times New Roman" w:eastAsia="Times New Roman" w:hAnsi="Times New Roman"/>
          <w:sz w:val="21"/>
          <w:szCs w:val="21"/>
          <w:u w:val="single" w:color="auto"/>
          <w:color w:val="auto"/>
        </w:rPr>
        <w:t>IT Systems and Data</w:t>
      </w:r>
      <w:r>
        <w:rPr>
          <w:rFonts w:ascii="Times New Roman" w:cs="Times New Roman" w:eastAsia="Times New Roman" w:hAnsi="Times New Roman"/>
          <w:sz w:val="21"/>
          <w:szCs w:val="21"/>
          <w:color w:val="auto"/>
        </w:rPr>
        <w:t>”), and any such personally identifiable information and sensitive and confidential data of the Company and its Subsidiaries that is processed or stored by third parties on behalf of the Company and its Subsidiaries, except for those that have been remedied; (ii) the Company and its Subsidiaries have implemented and maintain controls, policies, procedures, and technological safeguards designed to maintain and protect the integrity, continuous operation, redundancy and security of their IT Systems and Data reasonably consistent with industry standards, or as required by applicable laws or statutes; and (iii) the Company and its Subsidiaries are presently in compliance with, and since July 3, 2021 have complied with, all applicable laws or statutes relating to privacy and security of IT Systems and Data.</w:t>
      </w:r>
    </w:p>
    <w:p>
      <w:pPr>
        <w:spacing w:after="0" w:line="147"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3.24 </w:t>
      </w:r>
      <w:r>
        <w:rPr>
          <w:rFonts w:ascii="Times New Roman" w:cs="Times New Roman" w:eastAsia="Times New Roman" w:hAnsi="Times New Roman"/>
          <w:sz w:val="21"/>
          <w:szCs w:val="21"/>
          <w:u w:val="single" w:color="auto"/>
          <w:color w:val="auto"/>
        </w:rPr>
        <w:t>Affiliate Transactions</w:t>
      </w:r>
      <w:r>
        <w:rPr>
          <w:rFonts w:ascii="Times New Roman" w:cs="Times New Roman" w:eastAsia="Times New Roman" w:hAnsi="Times New Roman"/>
          <w:sz w:val="21"/>
          <w:szCs w:val="21"/>
          <w:color w:val="auto"/>
        </w:rPr>
        <w:t>. None of the officers or directors of the Company is presently a party to any transaction with the Company or any of its Subsidiaries (other than as holders of options, and/or other grants or awards under the Company Stock Plans, and for services as employees, officers and directors) that is material to the Company and its Subsidiaries, taken as a whole. Since July 3, 2021, neither the Company nor any Subsidiary has entered into any transaction between the Company or any of its Subsidiaries, on the one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65" w:right="339" w:bottom="1440" w:gutter="0" w:footer="0" w:header="0"/>
        </w:sectPr>
      </w:pPr>
    </w:p>
    <w:bookmarkStart w:id="144" w:name="page145"/>
    <w:bookmarkEnd w:id="144"/>
    <w:p>
      <w:pPr>
        <w:jc w:val="both"/>
        <w:spacing w:after="0" w:line="244" w:lineRule="auto"/>
        <w:rPr>
          <w:sz w:val="20"/>
          <w:szCs w:val="20"/>
          <w:color w:val="auto"/>
        </w:rPr>
      </w:pPr>
      <w:r>
        <w:rPr>
          <w:rFonts w:ascii="Times New Roman" w:cs="Times New Roman" w:eastAsia="Times New Roman" w:hAnsi="Times New Roman"/>
          <w:sz w:val="21"/>
          <w:szCs w:val="21"/>
          <w:color w:val="auto"/>
        </w:rPr>
        <w:t>and any Affiliate of the Company (other than (i) between the Company itself and any of its Subsidiaries or (ii) between any of the Subsidiaries themselves), on the other hand, except in compliance with the Company’s related party transaction policy.</w:t>
      </w:r>
    </w:p>
    <w:p>
      <w:pPr>
        <w:spacing w:after="0" w:line="142"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3.25 </w:t>
      </w:r>
      <w:r>
        <w:rPr>
          <w:rFonts w:ascii="Times New Roman" w:cs="Times New Roman" w:eastAsia="Times New Roman" w:hAnsi="Times New Roman"/>
          <w:sz w:val="21"/>
          <w:szCs w:val="21"/>
          <w:u w:val="single" w:color="auto"/>
          <w:color w:val="auto"/>
        </w:rPr>
        <w:t>Apollo Transaction Documents</w:t>
      </w:r>
      <w:r>
        <w:rPr>
          <w:rFonts w:ascii="Times New Roman" w:cs="Times New Roman" w:eastAsia="Times New Roman" w:hAnsi="Times New Roman"/>
          <w:sz w:val="21"/>
          <w:szCs w:val="21"/>
          <w:color w:val="auto"/>
        </w:rPr>
        <w:t>. As of the date hereof, the Apollo Transaction Documents have not been amended, waived or modified by or with the consent of the Company or any of its Subsidiaries, and no such amendment, waiver, modification, withdrawal or rescission is contemplated. Except for the Apollo Transaction Documents, neither the Company nor any of its Subsidiaries has entered into any side letters or other contracts, instruments or other commitments, obligations or arrangements (whether written or oral) related to the transactions contemplated by the Apollo Transaction Documents.</w:t>
      </w:r>
    </w:p>
    <w:p>
      <w:pPr>
        <w:spacing w:after="0" w:line="149" w:lineRule="exact"/>
        <w:rPr>
          <w:sz w:val="20"/>
          <w:szCs w:val="20"/>
          <w:color w:val="auto"/>
        </w:rPr>
      </w:pPr>
    </w:p>
    <w:p>
      <w:pPr>
        <w:jc w:val="both"/>
        <w:ind w:firstLine="1266"/>
        <w:spacing w:after="0" w:line="229" w:lineRule="auto"/>
        <w:rPr>
          <w:sz w:val="20"/>
          <w:szCs w:val="20"/>
          <w:color w:val="auto"/>
        </w:rPr>
      </w:pPr>
      <w:r>
        <w:rPr>
          <w:rFonts w:ascii="Times New Roman" w:cs="Times New Roman" w:eastAsia="Times New Roman" w:hAnsi="Times New Roman"/>
          <w:sz w:val="21"/>
          <w:szCs w:val="21"/>
          <w:color w:val="auto"/>
        </w:rPr>
        <w:t xml:space="preserve">Section 3.26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Except for the representations and warranties made by the Company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in any Transaction Documents or in any certificate or other document delivered in connection with this Agreement or the Transaction Documents, neither the Company nor any other Person acting on its behalf makes any other express or implied representation or warranty with respect to the Preferred Stock, the Common Stock, the Company or any of its Subsidiaries or their respective businesses, operations, properties, assets, liabilities, condition (financial or otherwise) or prospects, notwithstanding the delivery or disclosure to the Investors or their Representatives of any documentation, forecasts or other information with respect to any one or more of the foregoing, and the Investors acknowledge the foregoing. In particular, and without limiting the generality of the foregoing, except for the representations and warranties made by the Company in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the Transaction Documents, or in any certificate or other document delivered in connection with this Agreement or the Transaction Documents, neither the Company nor any other Person makes or has made any express or implied representation or warranty to the Investors or their Representatives with respect to (a) any financial projection, forecast, estimate, budget or prospect information relating to the Company, any of its Subsidiaries or their respective businesses or (b) any oral or written information presented to the Investors or their Representatives in the course of its due diligence investigation of the Company, the negotiation of this Agreement or the course of the Transactions or any other transactions or potential transactions involving the Company and the Investors.</w:t>
      </w:r>
    </w:p>
    <w:p>
      <w:pPr>
        <w:spacing w:after="0" w:line="1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8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Investors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Investors represent and warrant to the Company:</w:t>
      </w:r>
    </w:p>
    <w:p>
      <w:pPr>
        <w:spacing w:after="0" w:line="181"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Organization; Standing</w:t>
      </w:r>
      <w:r>
        <w:rPr>
          <w:rFonts w:ascii="Times New Roman" w:cs="Times New Roman" w:eastAsia="Times New Roman" w:hAnsi="Times New Roman"/>
          <w:sz w:val="21"/>
          <w:szCs w:val="21"/>
          <w:color w:val="auto"/>
        </w:rPr>
        <w:t>. Each Investor is duly organized, validly existing and in good standing under the Laws of its jurisdiction of organization and has all requisite limited partnership power and authority to carry on its business as presently conducted.</w:t>
      </w:r>
    </w:p>
    <w:p>
      <w:pPr>
        <w:spacing w:after="0" w:line="147"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8" w:lineRule="auto"/>
        <w:tabs>
          <w:tab w:leader="none" w:pos="252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Investors have all necessary power and authority to execute and deliver this Agreement and the other Transaction Documents to which they are a party and to perform their respective obligations hereunder and thereunder and to consummate the Transactions. The execution, delivery and performance by the Investors of this Agreement and the other Transaction Documents and the consummation by the Investors of the Transactions have been duly authorized and approved by all necessary action on the part of the Investors, and no further action, approval or authorization by any of their respective partners, is necessary to authorize the execution, delivery and performance by the Investors of this Agreement and the other Transaction Documents and the consummation by the Investors of the Transactions.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65" w:right="339" w:bottom="1440" w:gutter="0" w:footer="0" w:header="0"/>
        </w:sectPr>
      </w:pPr>
    </w:p>
    <w:bookmarkStart w:id="145" w:name="page146"/>
    <w:bookmarkEnd w:id="145"/>
    <w:p>
      <w:pPr>
        <w:jc w:val="both"/>
        <w:spacing w:after="0" w:line="231" w:lineRule="auto"/>
        <w:rPr>
          <w:sz w:val="20"/>
          <w:szCs w:val="20"/>
          <w:color w:val="auto"/>
        </w:rPr>
      </w:pPr>
      <w:r>
        <w:rPr>
          <w:rFonts w:ascii="Times New Roman" w:cs="Times New Roman" w:eastAsia="Times New Roman" w:hAnsi="Times New Roman"/>
          <w:sz w:val="21"/>
          <w:szCs w:val="21"/>
          <w:color w:val="auto"/>
        </w:rPr>
        <w:t>Agreement has been duly executed and delivered by the Investors and, assuming due authorization, execution and delivery hereof by the Company, constitutes a legal, valid and binding obligation of the Investors, enforceable against the Investors in accordance with its terms, except that such enforceability may be limited by the Bankruptcy and Equity Exception.</w:t>
      </w:r>
    </w:p>
    <w:p>
      <w:pPr>
        <w:spacing w:after="0" w:line="147" w:lineRule="exact"/>
        <w:rPr>
          <w:sz w:val="20"/>
          <w:szCs w:val="20"/>
          <w:color w:val="auto"/>
        </w:rPr>
      </w:pPr>
    </w:p>
    <w:p>
      <w:pPr>
        <w:jc w:val="both"/>
        <w:ind w:firstLine="1905"/>
        <w:spacing w:after="0" w:line="214" w:lineRule="auto"/>
        <w:tabs>
          <w:tab w:leader="none" w:pos="252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or the other Transaction Documents by the Investors, nor the consummation of the Transactions by the Investors, nor performance or compliance by the Investors with any of the terms or provisions hereof or thereof, will (i) conflict with or violate any provision of the limited partnership agreement or other comparable organizational documents of the Investors, or (ii) assuming that the authorizations, consents and approvals referred to in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are obtained at or prior to the Closing Date (other than the authorizations, consents and approvals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4.03(b)</w:t>
      </w:r>
      <w:r>
        <w:rPr>
          <w:rFonts w:ascii="Times New Roman" w:cs="Times New Roman" w:eastAsia="Times New Roman" w:hAnsi="Times New Roman"/>
          <w:sz w:val="21"/>
          <w:szCs w:val="21"/>
          <w:color w:val="auto"/>
        </w:rPr>
        <w:t xml:space="preserve">, which are to be obtained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and the filings referred to in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are made and any waiting periods with respect to such filings have terminated or expired at or prior to the Closing Date (other than the filings referred to in </w:t>
      </w:r>
      <w:r>
        <w:rPr>
          <w:rFonts w:ascii="Times New Roman" w:cs="Times New Roman" w:eastAsia="Times New Roman" w:hAnsi="Times New Roman"/>
          <w:sz w:val="21"/>
          <w:szCs w:val="21"/>
          <w:u w:val="single" w:color="auto"/>
          <w:color w:val="auto"/>
        </w:rPr>
        <w:t>Section 4.03(b)</w:t>
      </w:r>
      <w:r>
        <w:rPr>
          <w:rFonts w:ascii="Times New Roman" w:cs="Times New Roman" w:eastAsia="Times New Roman" w:hAnsi="Times New Roman"/>
          <w:sz w:val="21"/>
          <w:szCs w:val="21"/>
          <w:color w:val="auto"/>
        </w:rPr>
        <w:t xml:space="preserve">, which are to be made and any waiting periods thereunder are to terminate or expire following the Closing in accordance with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 violate any Law or Judgment applicable to the Investors or (y) violate or constitute a default (or constitute an event which, with notice or lapse of time or both, would violate or constitute a default) under any of the terms, conditions or provisions of any Contract to which the Investors are a party or accelerate the Investors’ obligations under any such Contract, except, in the case of clause (ii), as would not, individually or in the aggregate, reasonably be expected to have an Investor Material Adverse Effect.</w:t>
      </w:r>
    </w:p>
    <w:p>
      <w:pPr>
        <w:spacing w:after="0" w:line="155"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Except for the filing by the Company of the Certificate of Designations with the Delaware Secretary of State, based on the information provided to the Investors’ Representatives by the Company and its Representatives, no consent or approval of, or filing, license, permit or authorization, declaration or registration with, any Governmental Authority is necessary for the execution and delivery of this Agreement and the other Transaction Documents by the Investors, the performance by the Investors of their respective obligations hereunder and thereunder and the consummation by the Investors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52" w:lineRule="exact"/>
        <w:rPr>
          <w:sz w:val="20"/>
          <w:szCs w:val="20"/>
          <w:color w:val="auto"/>
        </w:rPr>
      </w:pPr>
    </w:p>
    <w:p>
      <w:pPr>
        <w:jc w:val="both"/>
        <w:ind w:firstLine="1266"/>
        <w:spacing w:after="0" w:line="225" w:lineRule="auto"/>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u w:val="single" w:color="auto"/>
          <w:color w:val="auto"/>
        </w:rPr>
        <w:t>Brokers and Other Advisors</w:t>
      </w:r>
      <w:r>
        <w:rPr>
          <w:rFonts w:ascii="Times New Roman" w:cs="Times New Roman" w:eastAsia="Times New Roman" w:hAnsi="Times New Roman"/>
          <w:sz w:val="21"/>
          <w:szCs w:val="21"/>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Investors, except for Persons, if any, whose fees and expenses will be paid by the Investors.</w:t>
      </w:r>
    </w:p>
    <w:p>
      <w:pPr>
        <w:spacing w:after="0" w:line="150"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Purchase for Investment</w:t>
      </w:r>
      <w:r>
        <w:rPr>
          <w:rFonts w:ascii="Times New Roman" w:cs="Times New Roman" w:eastAsia="Times New Roman" w:hAnsi="Times New Roman"/>
          <w:sz w:val="21"/>
          <w:szCs w:val="21"/>
          <w:color w:val="auto"/>
        </w:rPr>
        <w:t>. The Investors acknowledge that the offer and sale of the Acquired Shares and the Common Stock issuable upon the conversion of the Acquired Shares have not been registered under the Securities Act or under any state or other applicable securities Laws. The Investors (a) acknowledge that they are acquiring the Acquired Shares and the Common Stock issuable upon the conversion of the Acquired Shares pursuant to an exemption from registration under the Securities Act solely for investment with no intention to distribute any of the foregoing to any Person, (b) will not sell, transfer, or otherwise dispose of any of the Acquired Shares or the Common Stock issuable upon the conversion of the Acquired Shares, except in compliance with this Agreement and the registration requirements or exemption provisions of the Securities Act and any other applicable securities Laws, (c) have such knowledge and experience in financial and business matters and in investments of this type that it is capable of evaluating the merits and risks of its investment in the Acquired Shares and the Common Stock issuable upon the conversion of the Acquired Shares and of making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65" w:right="339" w:bottom="1440" w:gutter="0" w:footer="0" w:header="0"/>
        </w:sectPr>
      </w:pPr>
    </w:p>
    <w:bookmarkStart w:id="146" w:name="page147"/>
    <w:bookmarkEnd w:id="146"/>
    <w:p>
      <w:pPr>
        <w:jc w:val="both"/>
        <w:spacing w:after="0" w:line="216" w:lineRule="auto"/>
        <w:rPr>
          <w:sz w:val="20"/>
          <w:szCs w:val="20"/>
          <w:color w:val="auto"/>
        </w:rPr>
      </w:pPr>
      <w:r>
        <w:rPr>
          <w:rFonts w:ascii="Times New Roman" w:cs="Times New Roman" w:eastAsia="Times New Roman" w:hAnsi="Times New Roman"/>
          <w:sz w:val="21"/>
          <w:szCs w:val="21"/>
          <w:color w:val="auto"/>
        </w:rPr>
        <w:t>informed investment decision, (d) are “accredited investors” (as that term is defined by Rule 501 of the Securities Act) and “Institutional Accounts” (as that term is defined by FINRA Rule 4512(c)), and (e) (1) have reviewed the information that they consider necessary or appropriate to make an informed investment decision with respect to the Acquired Shares and the Common Stock issuable upon conversion of the Acquired Shares, (2) have had an opportunity to discuss with the Company and its Representatives the intended business and financial affairs of the Company and to obtain information necessary to verify the information furnished to them or to which they had access and (3) can bear the economic risk of (i) an investment in the Acquired Shares and the Common Stock issuable upon the conversion of the Acquired Shares indefinitely and (ii) a total loss in respect of such investment. The Investors have such knowledge and experience in business and financial matters so as to enable them to understand and evaluate the risks of, and form an investment decision with respect to its investment in, the Acquired Shares and the Common Stock issuable upon the conversion of the Acquired Shares.</w:t>
      </w:r>
    </w:p>
    <w:p>
      <w:pPr>
        <w:spacing w:after="0" w:line="148"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4.06 </w:t>
      </w:r>
      <w:r>
        <w:rPr>
          <w:rFonts w:ascii="Times New Roman" w:cs="Times New Roman" w:eastAsia="Times New Roman" w:hAnsi="Times New Roman"/>
          <w:sz w:val="21"/>
          <w:szCs w:val="21"/>
          <w:u w:val="single" w:color="auto"/>
          <w:color w:val="auto"/>
        </w:rPr>
        <w:t>Non-Reliance on Company Estimates, Projections, Forecasts, Forward-Looking Statements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Plans</w:t>
      </w:r>
      <w:r>
        <w:rPr>
          <w:rFonts w:ascii="Times New Roman" w:cs="Times New Roman" w:eastAsia="Times New Roman" w:hAnsi="Times New Roman"/>
          <w:sz w:val="21"/>
          <w:szCs w:val="21"/>
          <w:color w:val="auto"/>
        </w:rPr>
        <w:t xml:space="preserve">. In connection with the due diligence investigation of the Company by the Investors and their respective Representatives, the Investors and their respective Representatives have received and may continue to receive from the Company and its Representatives certain estimates, projections, forecasts and other forward-looking information, as well as certain business plan information, in each case containing forward-looking information, regarding the Company and its Subsidiaries and their respective businesses and operations. The Investors hereby acknowledge that there are uncertainties inherent in attempting to make such estimates, projections, forecasts and other forward-looking statements, as well as in such business plans to the extent each of them contain forward-looking information with which the Investors are familiar, that the Investors are making their own evaluation of the adequacy and accuracy of such forward-looking information so furnished to the Investors (including the reasonableness of the assumptions underlying such forward-looking information), and that except for the representations and warranties made by the Company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Transaction Documents and in any certificate or other document delivered in connection with this Agreement or the Transaction Documents, and other than for fraud, the Investors will have no claim against the Company or any of its Subsidiaries, or any of their respective Representatives, with respect thereto.</w:t>
      </w:r>
    </w:p>
    <w:p>
      <w:pPr>
        <w:spacing w:after="0" w:line="155"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4.07 </w:t>
      </w:r>
      <w:r>
        <w:rPr>
          <w:rFonts w:ascii="Times New Roman" w:cs="Times New Roman" w:eastAsia="Times New Roman" w:hAnsi="Times New Roman"/>
          <w:sz w:val="21"/>
          <w:szCs w:val="21"/>
          <w:u w:val="single" w:color="auto"/>
          <w:color w:val="auto"/>
        </w:rPr>
        <w:t>Financial Advisor</w:t>
      </w:r>
      <w:r>
        <w:rPr>
          <w:rFonts w:ascii="Times New Roman" w:cs="Times New Roman" w:eastAsia="Times New Roman" w:hAnsi="Times New Roman"/>
          <w:sz w:val="21"/>
          <w:szCs w:val="21"/>
          <w:color w:val="auto"/>
        </w:rPr>
        <w:t>. Each of (a) J.P. Morgan, Qatalyst and Lazard is acting as a financial advisor to the Company and is not acting as an underwriter or in any other capacity and is not and shall not be construed as a fiduciary for the Investors, the Company or any other person or entity in connection with the Transactions, (b) J.P. Morgan, Qatalyst and Lazard has not made and will not make any representation or warranty, whether express or implied, of any kind or character and has not provided any advice or recommendation in connection with the Transactions, (c) J.P. Morgan, Qatalyst and Lazard will have no responsibility with respect to (i)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Company or the Transactions, and (d) J.P. Morgan, Qatalyst and Lazard shall have no liability or obligation (including without limitation, for or with respect to any losses, claims, damages, obligations, penalties, judgments, awards, liabilities, costs, expenses or disbursements incurred by the Investors, the Company or any other person or entity), whether in contract, tort or otherwise, to the Investors, or to any person claiming through the Investors, in respect of the Transactions.</w:t>
      </w:r>
    </w:p>
    <w:p>
      <w:pPr>
        <w:spacing w:after="0" w:line="155"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4.08 </w:t>
      </w:r>
      <w:r>
        <w:rPr>
          <w:rFonts w:ascii="Times New Roman" w:cs="Times New Roman" w:eastAsia="Times New Roman" w:hAnsi="Times New Roman"/>
          <w:sz w:val="21"/>
          <w:szCs w:val="21"/>
          <w:u w:val="single" w:color="auto"/>
          <w:color w:val="auto"/>
        </w:rPr>
        <w:t>Big Boy Representation</w:t>
      </w:r>
      <w:r>
        <w:rPr>
          <w:rFonts w:ascii="Times New Roman" w:cs="Times New Roman" w:eastAsia="Times New Roman" w:hAnsi="Times New Roman"/>
          <w:sz w:val="21"/>
          <w:szCs w:val="21"/>
          <w:color w:val="auto"/>
        </w:rPr>
        <w:t>. Each Investor understands and acknowledges that the Company is in possession of information about the Company and its subsidiaries and their respective securities (including information relating to a Spin-Off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65" w:right="339" w:bottom="1440" w:gutter="0" w:footer="0" w:header="0"/>
        </w:sectPr>
      </w:pPr>
    </w:p>
    <w:bookmarkStart w:id="147" w:name="page148"/>
    <w:bookmarkEnd w:id="147"/>
    <w:p>
      <w:pPr>
        <w:jc w:val="both"/>
        <w:spacing w:after="0" w:line="225" w:lineRule="auto"/>
        <w:rPr>
          <w:sz w:val="20"/>
          <w:szCs w:val="20"/>
          <w:color w:val="auto"/>
        </w:rPr>
      </w:pPr>
      <w:r>
        <w:rPr>
          <w:rFonts w:ascii="Times New Roman" w:cs="Times New Roman" w:eastAsia="Times New Roman" w:hAnsi="Times New Roman"/>
          <w:sz w:val="21"/>
          <w:szCs w:val="21"/>
          <w:color w:val="auto"/>
        </w:rPr>
        <w:t>potential Subsequent Transaction that, at the Investors’ request, has not been provided to the Investors). Any such information may include material non-public information that may or may not be material or superior to information available to the Investors. Each Investor hereby waives any claim, or potential claim, it has or may have against the Company and any its Affiliates relating to the Company’s possession of material non-public information.</w:t>
      </w:r>
    </w:p>
    <w:p>
      <w:pPr>
        <w:spacing w:after="0" w:line="150"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4.09 </w:t>
      </w:r>
      <w:r>
        <w:rPr>
          <w:rFonts w:ascii="Times New Roman" w:cs="Times New Roman" w:eastAsia="Times New Roman" w:hAnsi="Times New Roman"/>
          <w:sz w:val="21"/>
          <w:szCs w:val="21"/>
          <w:u w:val="single" w:color="auto"/>
          <w:color w:val="auto"/>
        </w:rPr>
        <w:t>No Other Representations or Warranties</w:t>
      </w:r>
      <w:r>
        <w:rPr>
          <w:rFonts w:ascii="Times New Roman" w:cs="Times New Roman" w:eastAsia="Times New Roman" w:hAnsi="Times New Roman"/>
          <w:sz w:val="21"/>
          <w:szCs w:val="21"/>
          <w:color w:val="auto"/>
        </w:rPr>
        <w:t xml:space="preserve">. Except for the representations and warranties made by the Investors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the Transaction Documents and in any certificate or other document delivered in connection with this Agreement or the Transaction Documents, neither the Investors nor any other Person acting on their behalf makes any other express or implied representation or warranty with respect to the Investors or any of their respective Affiliates or their respective businesses, operations, properties, assets, liabilities, condition (financial or otherwise) or prospects, notwithstanding the delivery or disclosure to the Company or its Representatives of any documentation, forecasts or other information with respect to any one or more of the foregoing, and the Company acknowledges the foregoing. In particular, and without limiting the generality of the foregoing, except for the representations and warranties made by the Investors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the Transaction Documents and in any certificate or other document delivered in connection with this Agreement or the Transaction Documents, neither the Investors nor any other Person makes or has made any express or implied representation or warranty to the Investors or their Representatives with respect to any oral or written information presented to the Company or its Representatives in the course of its due diligence investigation of the Company, the negotiation of this Agreement or the course of the Transactions or any other transactions or potential transactions involving the Company and the Investors.</w:t>
      </w:r>
    </w:p>
    <w:p>
      <w:pPr>
        <w:spacing w:after="0" w:line="1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Additional Agreements</w:t>
      </w:r>
    </w:p>
    <w:p>
      <w:pPr>
        <w:spacing w:after="0" w:line="18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u w:val="single" w:color="auto"/>
          <w:color w:val="auto"/>
        </w:rPr>
        <w:t>Reasonable Best Efforts; Filings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5" w:lineRule="auto"/>
        <w:tabs>
          <w:tab w:leader="none" w:pos="252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of this Agreement, including the terms of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to the extent required under the HSR Act and any other applicable Regulatory Laws (collectively, the “</w:t>
      </w:r>
      <w:r>
        <w:rPr>
          <w:rFonts w:ascii="Times New Roman" w:cs="Times New Roman" w:eastAsia="Times New Roman" w:hAnsi="Times New Roman"/>
          <w:sz w:val="21"/>
          <w:szCs w:val="21"/>
          <w:u w:val="single" w:color="auto"/>
          <w:color w:val="auto"/>
        </w:rPr>
        <w:t>Required Regulatory Approvals</w:t>
      </w:r>
      <w:r>
        <w:rPr>
          <w:rFonts w:ascii="Times New Roman" w:cs="Times New Roman" w:eastAsia="Times New Roman" w:hAnsi="Times New Roman"/>
          <w:sz w:val="21"/>
          <w:szCs w:val="21"/>
          <w:color w:val="auto"/>
        </w:rPr>
        <w:t>”) with respect to the Investors’ receipt of Compounded Dividends (as defined in the Certificate of Designations), each of the Company and the Investors shall cooperate with each other and use (and shall cause its Subsidiaries to use) its reasonable best efforts (unless, with respect to any action, another standard of performance is expressly provided for herein) to obtain or submit, as the case may be, as promptly as practicable after notice by the Investors to the Company that any such Required Regulatory Approvals may be required, all Required Regulatory Approvals. In furtherance of the foregoing, each of the parties hereto shall cooperate with each other to evaluate and identify any filings, consents, clearances or approvals required with respect to the receipt of Compounded Dividends by the Investors under or in connection with any Regulatory Law. Upon notice by the Investors to the Company that any such restrictions may be necessary to avoid violation of Regulatory Law, the Company and the Investors agree to cooperate to issue Compounded Dividends identified in such notice in a form without voting rights or conversion rights into Common Stock, which restrictions would be removed upon obtaining any such Required Regulatory Approvals.</w:t>
      </w:r>
    </w:p>
    <w:p>
      <w:pPr>
        <w:spacing w:after="0" w:line="147"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Investors agree to make any required filings pursuant to the HSR Act and any other Required Regulatory Approvals with respect to the receipt of Compounded Dividends by the Investors as promptly as reasonably practicable following notice by the Investors that such Required Regulatory Approvals may be required, and to supply as promptly as reasonably practicable any additional information and documentary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65" w:right="339" w:bottom="1440" w:gutter="0" w:footer="0" w:header="0"/>
        </w:sectPr>
      </w:pPr>
    </w:p>
    <w:bookmarkStart w:id="148" w:name="page149"/>
    <w:bookmarkEnd w:id="148"/>
    <w:p>
      <w:pPr>
        <w:jc w:val="both"/>
        <w:spacing w:after="0" w:line="225" w:lineRule="auto"/>
        <w:rPr>
          <w:sz w:val="20"/>
          <w:szCs w:val="20"/>
          <w:color w:val="auto"/>
        </w:rPr>
      </w:pPr>
      <w:r>
        <w:rPr>
          <w:rFonts w:ascii="Times New Roman" w:cs="Times New Roman" w:eastAsia="Times New Roman" w:hAnsi="Times New Roman"/>
          <w:sz w:val="21"/>
          <w:szCs w:val="21"/>
          <w:color w:val="auto"/>
        </w:rPr>
        <w:t>material that may be requested pursuant to the HSR Act or any other Required Regulatory Approvals, as applicable, and to promptly take any and all steps necessary to avoid or eliminate each and every impediment and obtain all consents that may be required pursuant to the HSR Act or any other Required Regulatory Approvals, as applicable, so as to enable the Investors to receive Compounded Dividends in a form free of restrictions on voting or conversion.</w:t>
      </w:r>
    </w:p>
    <w:p>
      <w:pPr>
        <w:spacing w:after="0" w:line="150" w:lineRule="exact"/>
        <w:rPr>
          <w:sz w:val="20"/>
          <w:szCs w:val="20"/>
          <w:color w:val="auto"/>
        </w:rPr>
      </w:pPr>
    </w:p>
    <w:p>
      <w:pPr>
        <w:jc w:val="both"/>
        <w:ind w:firstLine="1905"/>
        <w:spacing w:after="0" w:line="213" w:lineRule="auto"/>
        <w:tabs>
          <w:tab w:leader="none" w:pos="252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the Investors shall use its reasonable best efforts to (i) cooperate in all respects with the other party in connection with any filing or submission with a Governmental Authority in connection with any Required Regulatory Approvals and in connection with any investigation or other inquiry by or before a Governmental Authority relating to any Required Regulatory Approvals, including any proceeding initiated by a private person, (ii) keep the other party informed in all material respects and on a reasonably timely basis of any material communication received by the Company or the Investors, as the case may be, from or given by the Company or the Investors, as the case may be, to the Federal Trade Commission (“</w:t>
      </w:r>
      <w:r>
        <w:rPr>
          <w:rFonts w:ascii="Times New Roman" w:cs="Times New Roman" w:eastAsia="Times New Roman" w:hAnsi="Times New Roman"/>
          <w:sz w:val="21"/>
          <w:szCs w:val="21"/>
          <w:u w:val="single" w:color="auto"/>
          <w:color w:val="auto"/>
        </w:rPr>
        <w:t>FTC</w:t>
      </w:r>
      <w:r>
        <w:rPr>
          <w:rFonts w:ascii="Times New Roman" w:cs="Times New Roman" w:eastAsia="Times New Roman" w:hAnsi="Times New Roman"/>
          <w:sz w:val="21"/>
          <w:szCs w:val="21"/>
          <w:color w:val="auto"/>
        </w:rPr>
        <w:t>”), the Department of Justice (“</w:t>
      </w:r>
      <w:r>
        <w:rPr>
          <w:rFonts w:ascii="Times New Roman" w:cs="Times New Roman" w:eastAsia="Times New Roman" w:hAnsi="Times New Roman"/>
          <w:sz w:val="21"/>
          <w:szCs w:val="21"/>
          <w:u w:val="single" w:color="auto"/>
          <w:color w:val="auto"/>
        </w:rPr>
        <w:t>DOJ</w:t>
      </w:r>
      <w:r>
        <w:rPr>
          <w:rFonts w:ascii="Times New Roman" w:cs="Times New Roman" w:eastAsia="Times New Roman" w:hAnsi="Times New Roman"/>
          <w:sz w:val="21"/>
          <w:szCs w:val="21"/>
          <w:color w:val="auto"/>
        </w:rPr>
        <w:t xml:space="preserve">”) or any other Governmental Authority and of any material communication received or given in connection with any proceeding by a private Person, in each case regarding any Required Regulatory Approvals, (iii) subject to applicable Laws relating to the exchange of information, and to the extent reasonably practicable, consult with the other party with respect to information relating to such party and its respective Subsidiaries, as the case may be, that appears in any filing made with, or written materials submitted to, any third Person or any Governmental Authority in connection with any Required Regulatory Approvals, and (iv) to the extent permitted by the FTC, the DOJ or such other applicable Governmental Authority or other Person, give the other party the opportunity to attend and participate in such meetings and conferences. Any documents or other materials provided pursuant to this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xml:space="preserve"> may be redacted or withheld as necessary to address reasonable privilege or confidentiality concerns, and to remove references concerning the valuation of the Company or other competitively sensitive material, and the parties may, as each deems advisable, reasonably designate any material provided under this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xml:space="preserve"> as “outside counsel only material”.</w:t>
      </w:r>
    </w:p>
    <w:p>
      <w:pPr>
        <w:spacing w:after="0" w:line="155"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nothing in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or elsewhere in this Agreement shall require the Investors to take any action with respect to any of their controlled Affiliates or their direct or indirect portfolio companies, including selling, divesting, conveying, holding separate, or otherwise limiting its freedom of action with respect to any assets, rights, products, licenses, businesses, operations, or interest therein, of any such Affiliates or any direct or indirect portfolio companies of investment funds advised or managed by one or more Affiliates of the Investors. The parties agree that all obligations of other parties related to regulatory approvals shall be governed exclusively by this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Corporate Actions</w:t>
      </w:r>
      <w:r>
        <w:rPr>
          <w:rFonts w:ascii="Times New Roman" w:cs="Times New Roman" w:eastAsia="Times New Roman" w:hAnsi="Times New Roman"/>
          <w:sz w:val="21"/>
          <w:szCs w:val="21"/>
          <w:color w:val="auto"/>
        </w:rPr>
        <w:t>. At any time that any Preferred Stock is outstanding, the Company shall (i) from time to time take all lawful action within its control to cause the authorized capital stock of the Company to include a sufficient number of authorized but unissued shares of Common Stock to satisfy the conversion requirements of all shares of the Preferred Stock then outstanding; and (ii) not effect any voluntary deregistration under the Exchange Act or any voluntary delisting with the NASDAQ (or any other national securities exchange upon which the Common Stock may subsequently be listed) in respect of the Common Stock other than in connection with a Fundamental Change (other than a delisting pursuant to the definition thereof) pursuant to which the Company satisfies in full its obligations under the Certificate of Designations. The Company agrees that is shall not register the Preferred Stock under Section 12 of the Exchange Act unless required to do so by applicable Law.</w:t>
      </w:r>
    </w:p>
    <w:p>
      <w:pPr>
        <w:spacing w:after="0" w:line="152"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Public Disclosure</w:t>
      </w:r>
      <w:r>
        <w:rPr>
          <w:rFonts w:ascii="Times New Roman" w:cs="Times New Roman" w:eastAsia="Times New Roman" w:hAnsi="Times New Roman"/>
          <w:sz w:val="21"/>
          <w:szCs w:val="21"/>
          <w:color w:val="auto"/>
        </w:rPr>
        <w:t>. The Investors and the Company shall consult with each other before issuing, and give each other the opportunity to review and comment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65" w:right="339" w:bottom="1440" w:gutter="0" w:footer="0" w:header="0"/>
        </w:sectPr>
      </w:pPr>
    </w:p>
    <w:bookmarkStart w:id="149" w:name="page150"/>
    <w:bookmarkEnd w:id="149"/>
    <w:p>
      <w:pPr>
        <w:jc w:val="both"/>
        <w:spacing w:after="0" w:line="214" w:lineRule="auto"/>
        <w:rPr>
          <w:sz w:val="20"/>
          <w:szCs w:val="20"/>
          <w:color w:val="auto"/>
        </w:rPr>
      </w:pPr>
      <w:r>
        <w:rPr>
          <w:rFonts w:ascii="Times New Roman" w:cs="Times New Roman" w:eastAsia="Times New Roman" w:hAnsi="Times New Roman"/>
          <w:sz w:val="21"/>
          <w:szCs w:val="21"/>
          <w:color w:val="auto"/>
        </w:rPr>
        <w:t>any press release or other public statements with respect to the Transaction Documents or the Transactions, and shall not issue any such press release or make any such public statement prior to such consultation, except as may be required by applicable Law, Judgment, court process or the rules and regulations of any national securities exchange or national securities quotation system. The Investors and the Company agree that the initial press release to be issued with respect to the Transactions following execution of this Agreement shall be in a form agreed to by the parties hereto (the “</w:t>
      </w:r>
      <w:r>
        <w:rPr>
          <w:rFonts w:ascii="Times New Roman" w:cs="Times New Roman" w:eastAsia="Times New Roman" w:hAnsi="Times New Roman"/>
          <w:sz w:val="21"/>
          <w:szCs w:val="21"/>
          <w:u w:val="single" w:color="auto"/>
          <w:color w:val="auto"/>
        </w:rPr>
        <w:t>Announcement</w:t>
      </w:r>
      <w:r>
        <w:rPr>
          <w:rFonts w:ascii="Times New Roman" w:cs="Times New Roman" w:eastAsia="Times New Roman" w:hAnsi="Times New Roman"/>
          <w:sz w:val="21"/>
          <w:szCs w:val="21"/>
          <w:color w:val="auto"/>
        </w:rPr>
        <w:t xml:space="preserve">”). Notwithstanding the foregoing,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xml:space="preserve"> shall not apply to any press release or other public statement made by the Company or the Investors (a) which is consistent with the Announcement and does not contain any information relating to the Transactions that has not been previously announced or made public in accordance with the terms of this Agreement or (b) is made in the ordinary course of business and does not relate specifically to the signing of the Transaction Documents or the Transactions. Notwithstanding the foregoing, (i) this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shall not prohibit any disclosure of information concerning this Agreement in connection with any dispute between the parties hereto regarding this Agreement and (ii) the Investor Parties may, without consulting the Company, provide ordinary course communications regarding this Agreement and the transactions contemplated hereby in connection with financial reporting and fundraising activities to existing or prospective general and limited partners, equity holders, members, managers and investors of any Affiliates of such Person, which in each case are subject to customary confidentiality obligations.</w:t>
      </w:r>
    </w:p>
    <w:p>
      <w:pPr>
        <w:spacing w:after="0" w:line="151" w:lineRule="exact"/>
        <w:rPr>
          <w:sz w:val="20"/>
          <w:szCs w:val="20"/>
          <w:color w:val="auto"/>
        </w:rPr>
      </w:pPr>
    </w:p>
    <w:p>
      <w:pPr>
        <w:jc w:val="both"/>
        <w:ind w:firstLine="1266"/>
        <w:spacing w:after="0" w:line="212"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The Investors will take reasonable precautions to safeguard the confidentiality of all Confidential Information; provided, however, that the Investors will be permitted to furnish and otherwise disclose Confidential Information: (i) to its Affiliates and its and its Affiliates’ respective Representatives who have a reasonable need to know or receive any such Confidential Information and who are advised or made aware that such Confidential Information is confidential and instructed to comply with an obligation of confidentiality not less restrictive than as set forth in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and (ii) to the extent that disclosure thereof is requested or required by any Law (including without limitation, any rule, regulation or policy statement of any national securities exchange or market on which the Investors’ or their Affiliates’ securities are listed), or any audit or inquiries by a regulator, bank examiner or self-regulatory organization. In the event an Investor or any of its Affiliates or Representative is requested or required to disclose Confidential Information pursuant to applicable Law, such Investor, Affiliate or Representative, as applicable will, except to the extent prohibited by applicable Law, as promptly as practicable give the Company notice of such request and the nature thereof so that the Company may seek an appropriate protective order. Notwithstanding the foregoing, the Investors and their respective Affiliates and Representatives may disclose such information, and need not provide such notice, in connection with a routine legal or regulatory process in the course of their or any of their respective Affiliates’ or Representatives’ businesses (including in response to oral questions, interrogatories or requests for information or documents) involving the Investors or their respective Affiliates or Representatives, as applicable, and a regulatory authority with jurisdiction over such Investor, Affiliate or Representative,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such Investor, Affiliate or Representative shall inform the governmental or regulatory body of the confidential nature of such information and request such authority keep such information confidential, in accordance with such authority’s policies and procedures. Each Investor agrees to be responsible for any breach of the terms of this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applicable to its Affiliates and Representatives by its Affiliates and Representatives, provided that any proceeding in respect of any such breach by any of such Affiliates’ directors, officers, partners, members, employees or controlling persons will be brought against such Investor only.</w:t>
      </w:r>
    </w:p>
    <w:p>
      <w:pPr>
        <w:spacing w:after="0" w:line="163"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5.06</w:t>
      </w:r>
      <w:r>
        <w:rPr>
          <w:sz w:val="20"/>
          <w:szCs w:val="20"/>
          <w:color w:val="auto"/>
        </w:rPr>
        <w:tab/>
      </w:r>
      <w:r>
        <w:rPr>
          <w:rFonts w:ascii="Times New Roman" w:cs="Times New Roman" w:eastAsia="Times New Roman" w:hAnsi="Times New Roman"/>
          <w:sz w:val="20"/>
          <w:szCs w:val="20"/>
          <w:u w:val="single" w:color="auto"/>
          <w:color w:val="auto"/>
        </w:rPr>
        <w:t>Transfer Restrictions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65" w:right="339" w:bottom="1440" w:gutter="0" w:footer="0" w:header="0"/>
        </w:sectPr>
      </w:pPr>
    </w:p>
    <w:bookmarkStart w:id="150" w:name="page151"/>
    <w:bookmarkEnd w:id="150"/>
    <w:p>
      <w:pPr>
        <w:ind w:left="2540" w:hanging="635"/>
        <w:spacing w:after="0"/>
        <w:tabs>
          <w:tab w:leader="none" w:pos="25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the thirty six (36)-month anniversary of the Closing Date, the Investor Parties will not Transfer:</w:t>
      </w:r>
    </w:p>
    <w:p>
      <w:pPr>
        <w:spacing w:after="0" w:line="180" w:lineRule="exact"/>
        <w:rPr>
          <w:rFonts w:ascii="Times New Roman" w:cs="Times New Roman" w:eastAsia="Times New Roman" w:hAnsi="Times New Roman"/>
          <w:sz w:val="21"/>
          <w:szCs w:val="21"/>
          <w:color w:val="auto"/>
        </w:rPr>
      </w:pPr>
    </w:p>
    <w:p>
      <w:pPr>
        <w:jc w:val="both"/>
        <w:ind w:firstLine="2538"/>
        <w:spacing w:after="0" w:line="220" w:lineRule="auto"/>
        <w:tabs>
          <w:tab w:leader="none" w:pos="315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Preferred Stock (or any Common Stock issued upon conversion of any Preferred Stock) to a Person who is known to be a Restricted Person (after reasonable inquiry);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their Preferred Stock (or any Common Stock issued upon conversion of any Preferred Stock) to a Restricted Person in connection with a merger, tender offer or exchange offer or other business combination, acquisition of assets or similar transaction or any Fundamental Change involving the Company or any of its Subsidiaries that, in each case, is approved by the Board;</w:t>
      </w:r>
    </w:p>
    <w:p>
      <w:pPr>
        <w:spacing w:after="0" w:line="149" w:lineRule="exact"/>
        <w:rPr>
          <w:rFonts w:ascii="Times New Roman" w:cs="Times New Roman" w:eastAsia="Times New Roman" w:hAnsi="Times New Roman"/>
          <w:sz w:val="21"/>
          <w:szCs w:val="21"/>
          <w:color w:val="auto"/>
        </w:rPr>
      </w:pPr>
    </w:p>
    <w:p>
      <w:pPr>
        <w:jc w:val="both"/>
        <w:ind w:firstLine="2538"/>
        <w:spacing w:after="0"/>
        <w:tabs>
          <w:tab w:leader="none" w:pos="315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Common Stock issued upon conversion of any Preferred Stock to a Person or “group” (as defined in Section 13(d)(3) of the Exchange Act) that the Investor Parties know that, after giving effect to a proposed Transfer, would beneficially own greater than five percent (5%) of the then outstanding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any Common Stock issued upon conversion of any Preferred Stock to a Person or group in connection with a merger, tender offer or exchange offer or other business combination, acquisition of assets or similar transaction or any Fundamental Change involving the Company or any of its Subsidiaries that, in each case, is approved by the Board; or</w:t>
      </w:r>
    </w:p>
    <w:p>
      <w:pPr>
        <w:spacing w:after="0" w:line="239" w:lineRule="exact"/>
        <w:rPr>
          <w:rFonts w:ascii="Times New Roman" w:cs="Times New Roman" w:eastAsia="Times New Roman" w:hAnsi="Times New Roman"/>
          <w:sz w:val="21"/>
          <w:szCs w:val="21"/>
          <w:color w:val="auto"/>
        </w:rPr>
      </w:pPr>
    </w:p>
    <w:p>
      <w:pPr>
        <w:jc w:val="both"/>
        <w:ind w:firstLine="2538"/>
        <w:spacing w:after="0" w:line="220" w:lineRule="auto"/>
        <w:tabs>
          <w:tab w:leader="none" w:pos="3165"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Preferred Stock to a Person or “group” (as defined in Section 13(d)(3) of the Exchange Act) that the Investor Parties know, at the time of the proposed Transfer, beneficially own at least three percent (3%) of the then outstanding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restrict the Investor Parties from Transferring any Preferred Stock to a Person or group in connection with a merger, tender offer or exchange offer or other business combination, acquisition of assets or similar transaction or any Fundamental Change involving the Company or any of its Subsidiaries that, in each case, is approved by the Board;</w:t>
      </w:r>
    </w:p>
    <w:p>
      <w:pPr>
        <w:spacing w:after="0" w:line="1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forgoing restrictions will not apply to any Transfer undertaken (x) in any underwritten offering (including an underwritten block trade), (y) in broker transactions effected pursuant to Rule 144 or Rule 144A of the Securities Act or (z) to any Affiliate of an Investor Party.</w:t>
      </w:r>
    </w:p>
    <w:p>
      <w:pPr>
        <w:spacing w:after="0" w:line="147" w:lineRule="exact"/>
        <w:rPr>
          <w:sz w:val="20"/>
          <w:szCs w:val="20"/>
          <w:color w:val="auto"/>
        </w:rPr>
      </w:pPr>
    </w:p>
    <w:p>
      <w:pPr>
        <w:jc w:val="both"/>
        <w:ind w:firstLine="1905"/>
        <w:spacing w:after="0" w:line="216" w:lineRule="auto"/>
        <w:tabs>
          <w:tab w:leader="none" w:pos="252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at which the Investor Parties continue to meet the 25% Beneficial Holding Requirement and the Investor Parties’ net beneficial ownership of shares Common Stock is not greater than or equal to the Applicable Threshold, the Investor Parties may not make any “short sale” (as defined in Rule 200 of Regulation SHO under the Exchange Act) of, grant any option for the purchase of, or enter into any hedging or similar transaction with the same economic effect as a “short sale” (as defined in Rule 200 of Regulation SHO under the Exchange Act) of or the purpose of which is to offset the loss which results from a decline in the market price of, any shares of Preferred Stock or Common Stock, or otherwise establishing or increasing, directly or indirectly, a put equivalent position, as defined in Rule 16a-1(h) under the Exchange Act, with respect to the Preferred Stock or Common Stock (collectively, “</w:t>
      </w:r>
      <w:r>
        <w:rPr>
          <w:rFonts w:ascii="Times New Roman" w:cs="Times New Roman" w:eastAsia="Times New Roman" w:hAnsi="Times New Roman"/>
          <w:sz w:val="21"/>
          <w:szCs w:val="21"/>
          <w:u w:val="single" w:color="auto"/>
          <w:color w:val="auto"/>
        </w:rPr>
        <w:t>Hedging Arrangements</w:t>
      </w:r>
      <w:r>
        <w:rPr>
          <w:rFonts w:ascii="Times New Roman" w:cs="Times New Roman" w:eastAsia="Times New Roman" w:hAnsi="Times New Roman"/>
          <w:sz w:val="21"/>
          <w:szCs w:val="21"/>
          <w:color w:val="auto"/>
        </w:rPr>
        <w:t xml:space="preserve">”). The Investor Parties’ net beneficial ownership referred to herein shall include any shares of Common Stock issuable upon conversion of the Preferred Stock beneficially owned by the Investor Parties as of such date without regard to any conversion restrictions (including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Investors agree that, from the date that any Elliott Director is appointed to the Board until the date on which any such Elliott Director ceases to be a member of the Board, except as otherwise set forth in this Agreement, the Investors shall comply with the Company’s trading policies and guidelines applicable to all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65" w:right="339" w:bottom="1440" w:gutter="0" w:footer="0" w:header="0"/>
        </w:sectPr>
      </w:pPr>
    </w:p>
    <w:bookmarkStart w:id="151" w:name="page152"/>
    <w:bookmarkEnd w:id="151"/>
    <w:p>
      <w:pPr>
        <w:jc w:val="both"/>
        <w:ind w:firstLine="1905"/>
        <w:spacing w:after="0" w:line="231" w:lineRule="auto"/>
        <w:tabs>
          <w:tab w:leader="none" w:pos="252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restrictions set forth in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terminate automatically upon the commencement by the Company or one of its significant Subsidiaries (as such term is defined in Rule 12b-2 under the Exchange Act) of bankruptcy, insolvency or other similar proceedings.</w:t>
      </w:r>
    </w:p>
    <w:p>
      <w:pPr>
        <w:spacing w:after="0" w:line="146" w:lineRule="exact"/>
        <w:rPr>
          <w:rFonts w:ascii="Times New Roman" w:cs="Times New Roman" w:eastAsia="Times New Roman" w:hAnsi="Times New Roman"/>
          <w:sz w:val="21"/>
          <w:szCs w:val="21"/>
          <w:color w:val="auto"/>
        </w:rPr>
      </w:pPr>
    </w:p>
    <w:p>
      <w:pPr>
        <w:jc w:val="both"/>
        <w:ind w:firstLine="1905"/>
        <w:spacing w:after="0" w:line="212" w:lineRule="auto"/>
        <w:tabs>
          <w:tab w:leader="none" w:pos="252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(including any of the Company’s policies), at any time from and after the Closing Date, (i) the Investor Parties shall be permitted to Transfer any or all of its Preferred Stock (or any Common Stock issued upon conversion of any Preferred Stock) in connection with a total return swap or a bona fide loan or other financing arrangement, including pledging, hypothecating or otherwise granting a security interest in shares of Preferred Stock and/or shares of Common Stock issued upon conversion of shares of Preferred Stock to one or more lending institutions as collateral or security for any bona fide loan, advance or extension of credit and any Transfer upon foreclosure (or in lieu of foreclosure) upon such shares of Preferred Stock or Common Stock (a “</w:t>
      </w:r>
      <w:r>
        <w:rPr>
          <w:rFonts w:ascii="Times New Roman" w:cs="Times New Roman" w:eastAsia="Times New Roman" w:hAnsi="Times New Roman"/>
          <w:sz w:val="21"/>
          <w:szCs w:val="21"/>
          <w:u w:val="single" w:color="auto"/>
          <w:color w:val="auto"/>
        </w:rPr>
        <w:t>Permitted Loan</w:t>
      </w:r>
      <w:r>
        <w:rPr>
          <w:rFonts w:ascii="Times New Roman" w:cs="Times New Roman" w:eastAsia="Times New Roman" w:hAnsi="Times New Roman"/>
          <w:sz w:val="21"/>
          <w:szCs w:val="21"/>
          <w:color w:val="auto"/>
        </w:rPr>
        <w:t>”), and (ii) nothing shall prohibit or otherwise restrict the ability of any lender or other creditor or collateral agent under a Permitted Loan (including any agent or trustee on their behalf) or any Affiliate of the foregoing to foreclose upon, or accept a Transfer in lieu of foreclosure, and sell, dispose of or otherwise Transfer the applicable Preferred Stock or Common Stock mortgaged, hypothecated and/or pledged to secure the obligations of the borrower following an event of default (any of the foregoing, collectively, a “</w:t>
      </w:r>
      <w:r>
        <w:rPr>
          <w:rFonts w:ascii="Times New Roman" w:cs="Times New Roman" w:eastAsia="Times New Roman" w:hAnsi="Times New Roman"/>
          <w:sz w:val="21"/>
          <w:szCs w:val="21"/>
          <w:u w:val="single" w:color="auto"/>
          <w:color w:val="auto"/>
        </w:rPr>
        <w:t>Foreclosure</w:t>
      </w:r>
      <w:r>
        <w:rPr>
          <w:rFonts w:ascii="Times New Roman" w:cs="Times New Roman" w:eastAsia="Times New Roman" w:hAnsi="Times New Roman"/>
          <w:sz w:val="21"/>
          <w:szCs w:val="21"/>
          <w:color w:val="auto"/>
        </w:rPr>
        <w:t xml:space="preserve">”) under a Permitted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if undertaken in a registered offering or an offering exempt from registration under Rule 144 or Rule 144A of the Securities Act, such lender or other creditor or collateral agent under a Permitted Loan or any Affiliate of the foregoing shall not sell, dispose of or otherwise Transfer such Preferred Stock or Common Stock to a Restricted Person without the Company’s prior written consent (except as provided any the proviso to </w:t>
      </w:r>
      <w:r>
        <w:rPr>
          <w:rFonts w:ascii="Times New Roman" w:cs="Times New Roman" w:eastAsia="Times New Roman" w:hAnsi="Times New Roman"/>
          <w:sz w:val="21"/>
          <w:szCs w:val="21"/>
          <w:u w:val="single" w:color="auto"/>
          <w:color w:val="auto"/>
        </w:rPr>
        <w:t>Section 5.06(a))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event that any lender or other creditor or collateral agent under a Permitted Loan transaction (including any agent or trustee on their behalf) or any Affiliate of the foregoing exercises any rights or remedies in respect of the applicable Preferred Stock or Common Stock or any other collateral for any Permitted Loan, no lender, creditor, agent or trustee on their behalf or Affiliate of any of the foregoing (other than, for the avoidance of doubt, the Investor Parties) shall be entitled to any rights or have any obligations or be subject to any restrictions or limitations set forth in this Agreement</w:t>
      </w:r>
    </w:p>
    <w:p>
      <w:pPr>
        <w:spacing w:after="0" w:line="163"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attempted Transfer in violation of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shall be null and void </w:t>
      </w:r>
      <w:r>
        <w:rPr>
          <w:rFonts w:ascii="Times New Roman" w:cs="Times New Roman" w:eastAsia="Times New Roman" w:hAnsi="Times New Roman"/>
          <w:sz w:val="21"/>
          <w:szCs w:val="21"/>
          <w:i w:val="1"/>
          <w:iCs w:val="1"/>
          <w:color w:val="auto"/>
        </w:rPr>
        <w:t>ab initio.</w:t>
      </w:r>
    </w:p>
    <w:p>
      <w:pPr>
        <w:spacing w:after="0" w:line="182"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such Transfer is not violation of this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he Company shall cooperate with the Investor Parties in connection with the Transfer of any Preferred Stock (or any Common Stock issued upon conversion of any Preferred Stock), including providing reasonable and customary information (i) in connection with the relevant Investor Party’s marketing efforts or any such potential transferee’s due diligence or (ii) in order to comply with applicable securities Laws.</w:t>
      </w:r>
    </w:p>
    <w:p>
      <w:pPr>
        <w:spacing w:after="0" w:line="149" w:lineRule="exact"/>
        <w:rPr>
          <w:rFonts w:ascii="Times New Roman" w:cs="Times New Roman" w:eastAsia="Times New Roman" w:hAnsi="Times New Roman"/>
          <w:sz w:val="21"/>
          <w:szCs w:val="21"/>
          <w:color w:val="auto"/>
        </w:rPr>
      </w:pPr>
    </w:p>
    <w:p>
      <w:pPr>
        <w:jc w:val="both"/>
        <w:ind w:firstLine="1905"/>
        <w:spacing w:after="0" w:line="231" w:lineRule="auto"/>
        <w:tabs>
          <w:tab w:leader="none" w:pos="252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this Section 5.06 shall not limit any transfer, disposition or hedging of any securities of the Company held by any Investor Party other than the Preferred Stock and the Common Stock issuable upon conversion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-2442845</wp:posOffset>
            </wp:positionV>
            <wp:extent cx="419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spacing w:after="0" w:line="12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Legend</w:t>
      </w:r>
      <w:r>
        <w:rPr>
          <w:rFonts w:ascii="Times New Roman" w:cs="Times New Roman" w:eastAsia="Times New Roman" w:hAnsi="Times New Roman"/>
          <w:sz w:val="21"/>
          <w:szCs w:val="21"/>
          <w:color w:val="auto"/>
        </w:rPr>
        <w:t>. (a) All certificates or other instruments representing the Preferred Stock or Common Stock issued upon conversion of the Preferred Stock will bear a legend substantially to the following effect:</w:t>
      </w:r>
    </w:p>
    <w:p>
      <w:pPr>
        <w:spacing w:after="0" w:line="142"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THE SECURITIES REPRESENTED BY THIS INSTRUMENT HAVE NOT BEEN REGISTERED UNDER THE SECURITIES ACT OF 1933, AS AMENDED, OR THE SECURITIES LAWS OF ANY STATE AND MAY NOT BE TRANSFERRED, SOLD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65" w:right="339" w:bottom="1440" w:gutter="0" w:footer="0" w:header="0"/>
        </w:sectPr>
      </w:pPr>
    </w:p>
    <w:bookmarkStart w:id="152" w:name="page153"/>
    <w:bookmarkEnd w:id="152"/>
    <w:p>
      <w:pPr>
        <w:jc w:val="both"/>
        <w:spacing w:after="0" w:line="231" w:lineRule="auto"/>
        <w:rPr>
          <w:sz w:val="20"/>
          <w:szCs w:val="20"/>
          <w:color w:val="auto"/>
        </w:rPr>
      </w:pPr>
      <w:r>
        <w:rPr>
          <w:rFonts w:ascii="Times New Roman" w:cs="Times New Roman" w:eastAsia="Times New Roman" w:hAnsi="Times New Roman"/>
          <w:sz w:val="21"/>
          <w:szCs w:val="21"/>
          <w:color w:val="auto"/>
        </w:rPr>
        <w:t>OTHERWISE DISPOSED OF EXCEPT PURSUANT TO AN EXEMPTION FROM REGISTRATION UNDER SUCH ACT OR SUCH LAWS, OR EXCEPT, WITH RESPECT TO ANY COMMON STOCK, WHILE A REGISTRATION STATEMENT RELATING THERETO IS IN EFFECT UNDER SUCH ACT AND APPLICABLE STATE SECURITIES LAWS.</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THE SECURITIES REPRESENTED BY THIS CERTIFICATE ARE SUBJECT TO TRANSFER AND OTHER RESTRICTIONS SET FORTH IN AN INVESTMENT AGREEMENT, DATED AS OF JANUARY 31, 2023, COPIES OF WHICH ARE ON FILE WITH THE SECRETARY OF THE ISSUER.</w:t>
      </w:r>
    </w:p>
    <w:p>
      <w:pPr>
        <w:spacing w:after="0" w:line="147" w:lineRule="exact"/>
        <w:rPr>
          <w:sz w:val="20"/>
          <w:szCs w:val="20"/>
          <w:color w:val="auto"/>
        </w:rPr>
      </w:pPr>
    </w:p>
    <w:p>
      <w:pPr>
        <w:jc w:val="both"/>
        <w:ind w:firstLine="1905"/>
        <w:spacing w:after="0" w:line="220" w:lineRule="auto"/>
        <w:tabs>
          <w:tab w:leader="none" w:pos="25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of the applicable Investor Party, upon receipt by the Company of an opinion of counsel reasonably satisfactory to the Company to the effect that such legend is no longer required under the Securities Act and applicable state securities laws, the Company shall promptly cause the first paragraph of the legend to be removed from any certificate for any Preferred Stock or Common Stock to be Transferred in accordance with the terms of this Agreement and the second paragraph of the legend shall be removed upon the expiration of such transfer and other restrictions set forth in this Agreement (and, for the avoidance of doubt, immediately prior to any termination of this Agreement).</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5.08</w:t>
      </w:r>
      <w:r>
        <w:rPr>
          <w:sz w:val="20"/>
          <w:szCs w:val="20"/>
          <w:color w:val="auto"/>
        </w:rPr>
        <w:tab/>
      </w:r>
      <w:r>
        <w:rPr>
          <w:rFonts w:ascii="Times New Roman" w:cs="Times New Roman" w:eastAsia="Times New Roman" w:hAnsi="Times New Roman"/>
          <w:sz w:val="21"/>
          <w:szCs w:val="21"/>
          <w:u w:val="single" w:color="auto"/>
          <w:color w:val="auto"/>
        </w:rPr>
        <w:t>Blocker Provisions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ind w:right="20" w:firstLine="1905"/>
        <w:spacing w:after="0" w:line="217" w:lineRule="auto"/>
        <w:tabs>
          <w:tab w:leader="none" w:pos="252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of the Preferred Stock to the contrary, and subject to </w:t>
      </w:r>
      <w:r>
        <w:rPr>
          <w:rFonts w:ascii="Times New Roman" w:cs="Times New Roman" w:eastAsia="Times New Roman" w:hAnsi="Times New Roman"/>
          <w:sz w:val="21"/>
          <w:szCs w:val="21"/>
          <w:u w:val="single" w:color="auto"/>
          <w:color w:val="auto"/>
        </w:rPr>
        <w:t>Section 5.08(e)</w:t>
      </w:r>
      <w:r>
        <w:rPr>
          <w:rFonts w:ascii="Times New Roman" w:cs="Times New Roman" w:eastAsia="Times New Roman" w:hAnsi="Times New Roman"/>
          <w:sz w:val="21"/>
          <w:szCs w:val="21"/>
          <w:color w:val="auto"/>
        </w:rPr>
        <w:t>, any Notice of Conversion (as defined in the Certificate of Designations) with respect to the Preferred Stock submitted by an Investor Party shall be deemed automatically not to have been so delivered, and the Company shall have no obligation to deliver any shares of Common Stock or make any other delivery with respect to such Notice of Conversion, to the extent that the delivery of any shares of Common Stock or any other security otherwise deliverable upon such conversion would result in the Investor Parties, together with their Affiliates or other persons whose beneficial ownership would be aggregated with the Investor Parties, in the aggregate, having beneficial ownership of shares of Common Stock or any other class of any equity security of the Company that is registered pursuant to Section 12 or Section 15 of the Exchange Act (a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in excess of the Beneficial Ownership Limitation.</w:t>
      </w:r>
    </w:p>
    <w:p>
      <w:pPr>
        <w:spacing w:after="0" w:line="152" w:lineRule="exact"/>
        <w:rPr>
          <w:rFonts w:ascii="Times New Roman" w:cs="Times New Roman" w:eastAsia="Times New Roman" w:hAnsi="Times New Roman"/>
          <w:sz w:val="21"/>
          <w:szCs w:val="21"/>
          <w:color w:val="auto"/>
        </w:rPr>
      </w:pPr>
    </w:p>
    <w:p>
      <w:pPr>
        <w:ind w:right="40" w:firstLine="1905"/>
        <w:spacing w:after="0" w:line="214" w:lineRule="auto"/>
        <w:tabs>
          <w:tab w:leader="none" w:pos="252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calculating beneficial ownership for purposes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the aggregate number of shares of Common Stock beneficially owned by the Investor Parties shall include (a) the aggregate number of shares of Common Stock issuable upon conversion of the Preferred Stock held by the Investor Parties; (b) the aggregate number of shares of Common Stock beneficially owned by the Investor Parties; and (c) the aggregate number of shares of Common Stock issuable upon exercise, conversion or exchange of any other securities of the Company beneficially owned by the Investor Parties; provided that such calculation shall exclude the number of shares of Common Stock which are issuable upon exercise, conversion or exchange of the unexercised, unconverted or unexchanged portion of the Preferred Stock and any other securities of the Company beneficially owned by the Investor Parties (including, without limitation, any convertible or exchangeable notes, convertible stock or warrants) that are subject to the limitation on beneficial ownership described in this Section 5.08 or a limitation on conversion, exchange or exercise analogous to the limitation contained in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Any purported delivery to the Investor Parties of a number of shares or any other security upon conversion of the Preferred Stock, in either case, shall be void and have no effect to the extent, and only to the extent, that after such delivery, the Investor Parties would have beneficial ownership of shares of Common Stock or any Class in excess of the Beneficial Ownership Limitation. In the event that the issuance of shares of Common Stock to an Investor upon conversion of Preferred Stock results in the Investors being deemed to beneficially own, in the aggregate, more than the Beneficial Ownership Limitation (as determined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65" w:right="339" w:bottom="1440" w:gutter="0" w:footer="0" w:header="0"/>
        </w:sectPr>
      </w:pPr>
    </w:p>
    <w:bookmarkStart w:id="153" w:name="page154"/>
    <w:bookmarkEnd w:id="153"/>
    <w:p>
      <w:pPr>
        <w:ind w:right="20"/>
        <w:spacing w:after="0" w:line="231" w:lineRule="auto"/>
        <w:rPr>
          <w:sz w:val="20"/>
          <w:szCs w:val="20"/>
          <w:color w:val="auto"/>
        </w:rPr>
      </w:pPr>
      <w:r>
        <w:rPr>
          <w:rFonts w:ascii="Times New Roman" w:cs="Times New Roman" w:eastAsia="Times New Roman" w:hAnsi="Times New Roman"/>
          <w:sz w:val="21"/>
          <w:szCs w:val="21"/>
          <w:color w:val="auto"/>
        </w:rPr>
        <w:t>13(d) of the Exchange Act), the shares issued in connection with such conversion of Preferred Stock (the “</w:t>
      </w:r>
      <w:r>
        <w:rPr>
          <w:rFonts w:ascii="Times New Roman" w:cs="Times New Roman" w:eastAsia="Times New Roman" w:hAnsi="Times New Roman"/>
          <w:sz w:val="21"/>
          <w:szCs w:val="21"/>
          <w:u w:val="single" w:color="auto"/>
          <w:color w:val="auto"/>
        </w:rPr>
        <w:t>Conversion Shares</w:t>
      </w:r>
      <w:r>
        <w:rPr>
          <w:rFonts w:ascii="Times New Roman" w:cs="Times New Roman" w:eastAsia="Times New Roman" w:hAnsi="Times New Roman"/>
          <w:sz w:val="21"/>
          <w:szCs w:val="21"/>
          <w:color w:val="auto"/>
        </w:rPr>
        <w:t>”) shall be deemed null and void and shall be cancelled ab initio, and the Investor shall not have the power to vote or to transfer the Conversion Shares.</w:t>
      </w:r>
    </w:p>
    <w:p>
      <w:pPr>
        <w:spacing w:after="0" w:line="147" w:lineRule="exact"/>
        <w:rPr>
          <w:sz w:val="20"/>
          <w:szCs w:val="20"/>
          <w:color w:val="auto"/>
        </w:rPr>
      </w:pPr>
    </w:p>
    <w:p>
      <w:pPr>
        <w:ind w:right="40" w:firstLine="1905"/>
        <w:spacing w:after="0" w:line="218" w:lineRule="auto"/>
        <w:tabs>
          <w:tab w:leader="none" w:pos="252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xml:space="preserve">” shall mean 4.99% of the number of outstanding shares of Common Stock or other Class, as applicable, in each case outstanding immediately after giving effect to such conversion. Subject to </w:t>
      </w:r>
      <w:r>
        <w:rPr>
          <w:rFonts w:ascii="Times New Roman" w:cs="Times New Roman" w:eastAsia="Times New Roman" w:hAnsi="Times New Roman"/>
          <w:sz w:val="21"/>
          <w:szCs w:val="21"/>
          <w:u w:val="single" w:color="auto"/>
          <w:color w:val="auto"/>
        </w:rPr>
        <w:t>Section 5.08(e)</w:t>
      </w:r>
      <w:r>
        <w:rPr>
          <w:rFonts w:ascii="Times New Roman" w:cs="Times New Roman" w:eastAsia="Times New Roman" w:hAnsi="Times New Roman"/>
          <w:sz w:val="21"/>
          <w:szCs w:val="21"/>
          <w:color w:val="auto"/>
        </w:rPr>
        <w:t xml:space="preserve">, the Investor Parties may, from time to time by written notice to the Company, increase or decrease the Beneficial Ownership Limitation to any other percentage specified in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increase will not be effective until the sixty-first (61st) day after such notice is delivered to the Company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Beneficial Ownership Limitation may not be increased to an amount in excess of the Common Stock Cap Limitation (as defined in the Certificate of Designations).</w:t>
      </w:r>
    </w:p>
    <w:p>
      <w:pPr>
        <w:spacing w:after="0" w:line="152" w:lineRule="exact"/>
        <w:rPr>
          <w:rFonts w:ascii="Times New Roman" w:cs="Times New Roman" w:eastAsia="Times New Roman" w:hAnsi="Times New Roman"/>
          <w:sz w:val="21"/>
          <w:szCs w:val="21"/>
          <w:color w:val="auto"/>
        </w:rPr>
      </w:pPr>
    </w:p>
    <w:p>
      <w:pPr>
        <w:ind w:right="40" w:firstLine="1905"/>
        <w:spacing w:after="0" w:line="218" w:lineRule="auto"/>
        <w:tabs>
          <w:tab w:leader="none" w:pos="252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in determining the number of outstanding shares of Common Stock, the Investor Parties may rely on the number of outstanding shares of Common Stock as reflected in (i) the Company’s most recent Quarterly Report on Form 10-Q, Annual Report on Form 10-K, Current Report on Form 8-K or other public filing with the SEC, (ii) a more recent public announcement by the Company or (iii) any other more recent written notice by the Company, in each case setting forth the number of shares of Common Stock outstanding. Upon the written request of the Investor Parties, the Company shall within two (2) Business Days confirm in writing to the Investor Parties the number of shares of Common Stock then outstanding.</w:t>
      </w:r>
    </w:p>
    <w:p>
      <w:pPr>
        <w:spacing w:after="0" w:line="152" w:lineRule="exact"/>
        <w:rPr>
          <w:rFonts w:ascii="Times New Roman" w:cs="Times New Roman" w:eastAsia="Times New Roman" w:hAnsi="Times New Roman"/>
          <w:sz w:val="21"/>
          <w:szCs w:val="21"/>
          <w:color w:val="auto"/>
        </w:rPr>
      </w:pPr>
    </w:p>
    <w:p>
      <w:pPr>
        <w:ind w:right="40" w:firstLine="1905"/>
        <w:spacing w:after="0" w:line="222" w:lineRule="auto"/>
        <w:tabs>
          <w:tab w:leader="none" w:pos="252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this Section 5.08 shall be construed, corrected and implemented in a manner so as to comply with the rules and regulations of NASDAQ and so as to effectuate the intended beneficial ownership limitation herein contained. The shares of Common Stock underlying the Preferred Stock in excess of the Beneficial Ownership Limitation shall not be deemed to be beneficially owned by the Investor Parties for any purpose, including for purposes of Section 13(d) or Rule 16a-1(a)(1) of the Exchange Act.</w:t>
      </w:r>
    </w:p>
    <w:p>
      <w:pPr>
        <w:spacing w:after="0" w:line="149"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3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the Investor Parties shall be solely responsible for determining the number of shares that they beneficially own. The Company shall not at any time be under any duty or responsibility to the Investor Parties to determine the Investor Parties’ beneficial ownership of shares of Common Stock or any Class, nor shall the Company have any responsibility to determine or monitor compliance with the terms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and the Company shall have no liability to the Investor Parties in connection with the provisions of this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5.09</w:t>
      </w:r>
      <w:r>
        <w:rPr>
          <w:sz w:val="20"/>
          <w:szCs w:val="20"/>
          <w:color w:val="auto"/>
        </w:rPr>
        <w:tab/>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905"/>
        <w:spacing w:after="0" w:line="216" w:lineRule="auto"/>
        <w:tabs>
          <w:tab w:leader="none" w:pos="252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and its paying agent shall be entitled to withhold Taxes on all payments on the Preferred Stock or Common Stock or other securities issued upon conversion of the Preferred Stock in each case to the extent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that the Investors have previously delivered an appropriate IRS Form W-8 or W-9 to the Company establishing an exemption for U.S. federal withholding (including backup withholding), the Company shall not be permitted to withhold unless the Company has provided the Investors advance written notice of its intent to withhold at least five (5) days prior to the payment of the amount subject to withholding, and has given the Investors a reasonable opportunity to provide any form or certificate available to reduce or eliminate such withholding. Within a reasonable amount of time after making such withholding payment, the Company shall furnish the Investors with copies of any tax certificate, receipt or other documentation reasonably acceptable to the Investors evidencing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65" w:right="339" w:bottom="1440" w:gutter="0" w:footer="0" w:header="0"/>
        </w:sectPr>
      </w:pPr>
    </w:p>
    <w:bookmarkStart w:id="154" w:name="page155"/>
    <w:bookmarkEnd w:id="154"/>
    <w:p>
      <w:pPr>
        <w:jc w:val="both"/>
        <w:ind w:firstLine="1905"/>
        <w:spacing w:after="0" w:line="218" w:lineRule="auto"/>
        <w:tabs>
          <w:tab w:leader="none" w:pos="252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any and all documentary, stamp and similar issue or transfer Tax due on (x) the issuance of the Preferred Stock and (y) the issuance of shares of Common Stock upon conversion of the Preferred Stock. However, in the case of conversion of Preferred Stock, the Company shall not be required to pay any Tax or duty that may be payable in respect of any transfer involved in the issuance and delivery of shares of Common Stock or Preferred Stock to a beneficial owner other than the beneficial owner of the Preferred Stock immediately prior to such conversion,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46"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hereby agree that Section 13 of the Certificate of Designations is incorporated by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w:t>
      </w:r>
    </w:p>
    <w:p>
      <w:pPr>
        <w:spacing w:after="0" w:line="157"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5.10</w:t>
      </w:r>
      <w:r>
        <w:rPr>
          <w:sz w:val="20"/>
          <w:szCs w:val="20"/>
          <w:color w:val="auto"/>
        </w:rPr>
        <w:tab/>
      </w:r>
      <w:r>
        <w:rPr>
          <w:rFonts w:ascii="Times New Roman" w:cs="Times New Roman" w:eastAsia="Times New Roman" w:hAnsi="Times New Roman"/>
          <w:sz w:val="21"/>
          <w:szCs w:val="21"/>
          <w:u w:val="single" w:color="auto"/>
          <w:color w:val="auto"/>
        </w:rPr>
        <w:t>Spin-Off Matters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4" w:lineRule="auto"/>
        <w:tabs>
          <w:tab w:leader="none" w:pos="252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and shall cause each of its Affiliates to, (i) consult in good faith with the Investors with respect to the structuring of a Spin-Off, and give reasonable and good faith consideration to any proposals or comments made by the Investors and their counsel, (ii) provide the Investors with a reasonable opportunity to review and comment upon (A) all Spin-Off Transaction Documents prior to execution thereof, (B) any registration statement (including any amendments or supplements thereto), to be filed by SpinCo with the SEC in connection such Spin-Off prior to such filing, and, in each case, give reasonable and good faith consideration to any comments made by the Investors and their counsel and (C) any information, other than publicly available information filed with the SEC in connection with the transactions contemplated hereby, contained in any filings with a Governmental Authority (including the SEC and the IRS or any other Taxing Authority) that relates to the Investors or this Agreement (which approval will not be unreasonably withheld, delayed or conditioned), (iii) keep the Investors apprised on a reasonably current basis of (A) the anticipated date and time of the consummation of such Spin-Off, (B) progress of any antitrust, regulatory or other notification or filing required in connection with the transactions contemplated by the Spin-Off Transaction Documents, (C) any material disputes that arise under or relate to the Spin-Off Transaction Documents and (D) material communications or submissions with the IRS or other Taxing Authority concerning the matters set forth herein, and (iv) without the consent of the Investors, not to be unreasonably withheld, delayed or conditioned, not consummate a Spin-Off without obtaining a Tax Opinion or Ruling.</w:t>
      </w:r>
    </w:p>
    <w:p>
      <w:pPr>
        <w:spacing w:after="0" w:line="140" w:lineRule="exact"/>
        <w:rPr>
          <w:rFonts w:ascii="Times New Roman" w:cs="Times New Roman" w:eastAsia="Times New Roman" w:hAnsi="Times New Roman"/>
          <w:sz w:val="21"/>
          <w:szCs w:val="21"/>
          <w:color w:val="auto"/>
        </w:rPr>
      </w:pPr>
    </w:p>
    <w:p>
      <w:pPr>
        <w:ind w:left="2540" w:hanging="635"/>
        <w:spacing w:after="0"/>
        <w:tabs>
          <w:tab w:leader="none" w:pos="254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Standalone Spin-Off is consummated, in connection with the consummation of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Spin-Off:</w:t>
      </w:r>
    </w:p>
    <w:p>
      <w:pPr>
        <w:spacing w:after="0" w:line="156" w:lineRule="exact"/>
        <w:rPr>
          <w:rFonts w:ascii="Times New Roman" w:cs="Times New Roman" w:eastAsia="Times New Roman" w:hAnsi="Times New Roman"/>
          <w:sz w:val="21"/>
          <w:szCs w:val="21"/>
          <w:color w:val="auto"/>
        </w:rPr>
      </w:pPr>
    </w:p>
    <w:p>
      <w:pPr>
        <w:jc w:val="both"/>
        <w:ind w:firstLine="2538"/>
        <w:spacing w:after="0" w:line="216" w:lineRule="auto"/>
        <w:tabs>
          <w:tab w:leader="none" w:pos="3153"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Company shall cause SpinCo to issue to the Company a number of shares of convertible preferred stock of SpinCo having an aggregate liquidation preference equal to the Specified Assumed Amount (the “</w:t>
      </w:r>
      <w:r>
        <w:rPr>
          <w:rFonts w:ascii="Times New Roman" w:cs="Times New Roman" w:eastAsia="Times New Roman" w:hAnsi="Times New Roman"/>
          <w:sz w:val="21"/>
          <w:szCs w:val="21"/>
          <w:u w:val="single" w:color="auto"/>
          <w:color w:val="auto"/>
        </w:rPr>
        <w:t>SpinCo Preferred Stock</w:t>
      </w:r>
      <w:r>
        <w:rPr>
          <w:rFonts w:ascii="Times New Roman" w:cs="Times New Roman" w:eastAsia="Times New Roman" w:hAnsi="Times New Roman"/>
          <w:sz w:val="21"/>
          <w:szCs w:val="21"/>
          <w:color w:val="auto"/>
        </w:rPr>
        <w:t xml:space="preserve">”) and having the designation, preferences, rights, privileges, powers, and terms and conditions, that are identical to those specified in the Certificate of Designations and (B) the Company shall, immediately following such issuance, issue such SpinCo Preferred Stock to the applicable Investor Parties in exchange for a number of shares of Preferred Stock having an aggregate liquidation preference equal to the Specified Assumed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case of the foregoing clauses (A) and (B), such transactions shall be structured for U.S. federal income tax purposes as a distribution of preferred shares in SpinCo to the Investor Parties in respect of the Investor Parties’ Preferred Stock in a transaction qualifying as tax-deferred to the Investors under Section 355 or Section 361 of the Code and the Investors, the Company and SpinCo shall otherwise use good faith efforts to structure such transactions in a tax efficient manner;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65" w:right="339" w:bottom="1440" w:gutter="0" w:footer="0" w:header="0"/>
        </w:sectPr>
      </w:pPr>
    </w:p>
    <w:bookmarkStart w:id="155" w:name="page156"/>
    <w:bookmarkEnd w:id="155"/>
    <w:p>
      <w:pPr>
        <w:jc w:val="both"/>
        <w:ind w:firstLine="2538"/>
        <w:spacing w:after="0" w:line="215" w:lineRule="auto"/>
        <w:tabs>
          <w:tab w:leader="none" w:pos="3159"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cause SpinCo to enter into an investor rights agreement and a registration rights agreement, in each case, with the Investors and/or their applicable Affiliates, and duly adopt and file a certificate of designation with the Secretary of State of the State of Delaware (or such other applicable jurisdiction), that provides the Investor Parties with rights and obligations that are identical to those set forth in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and, if requested in writing by the Investors,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the Registration Rights Agreement and the Certificate of Designations, as applicable, in each case, with such changes as set forth in Annex I hereto and such additional changes to be agreed among the Company, the Investor and SpinCo. In addition, to the extent SpinCo has not done so on the date that the Standalone Spin-Off is consummated, SpinCo shall, as promptly as possible after the date thereof, apply to cause the aggregate number of shares of common stock issuable upon the conversion of the SpinCo Preferred Stock issued to the Investors pursuant to this Agreement and pursuant to the SpinCo certificate of designations to be approved for listing on the NASDAQ or other national securities exchange, subject to official notice of issuance;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SpinCo shall promptly amend such application to account for any event that results in an adjustment to the conversion price of the SpinCo Preferred Stock.</w:t>
      </w:r>
    </w:p>
    <w:p>
      <w:pPr>
        <w:spacing w:after="0" w:line="14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to the contrary, if the Company announces a Standalone Spin-Off and then, prior to the consummation of such Standalone Spin-Off, the Company subsequently announces a Subsequent Transaction, the Company shall have no obligations under this </w:t>
      </w:r>
      <w:r>
        <w:rPr>
          <w:rFonts w:ascii="Times New Roman" w:cs="Times New Roman" w:eastAsia="Times New Roman" w:hAnsi="Times New Roman"/>
          <w:sz w:val="21"/>
          <w:szCs w:val="21"/>
          <w:u w:val="single" w:color="auto"/>
          <w:color w:val="auto"/>
        </w:rPr>
        <w:t>Section 5.10(b)</w:t>
      </w:r>
      <w:r>
        <w:rPr>
          <w:rFonts w:ascii="Times New Roman" w:cs="Times New Roman" w:eastAsia="Times New Roman" w:hAnsi="Times New Roman"/>
          <w:sz w:val="21"/>
          <w:szCs w:val="21"/>
          <w:color w:val="auto"/>
        </w:rPr>
        <w:t xml:space="preserve"> unless and until the Subsequent Transaction is terminated and the Company determines to undertake a Standalone Spin-Off.</w:t>
      </w:r>
    </w:p>
    <w:p>
      <w:pPr>
        <w:spacing w:after="0" w:line="150"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shall use the proceeds from the issuance and sale of the Acquired Shares (a) to pay for any costs, fees and expenses incurred in connection with the Transactions or (b) for general corporate purposes, including any potential Spin-Off.</w:t>
      </w:r>
    </w:p>
    <w:p>
      <w:pPr>
        <w:spacing w:after="0" w:line="147"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DTC Eligibility</w:t>
      </w:r>
      <w:r>
        <w:rPr>
          <w:rFonts w:ascii="Times New Roman" w:cs="Times New Roman" w:eastAsia="Times New Roman" w:hAnsi="Times New Roman"/>
          <w:sz w:val="21"/>
          <w:szCs w:val="21"/>
          <w:color w:val="auto"/>
        </w:rPr>
        <w:t>. Promptly following the Closing, the Company shall use commercially reasonable efforts to cause the shares of Preferred Stock to be eligible for resale through The Depository Trust Company.</w:t>
      </w:r>
    </w:p>
    <w:p>
      <w:pPr>
        <w:spacing w:after="0" w:line="142"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 From and after the Closing, if requested by an Investor Party, the Company will provide cooperation (with, in each case, all reasonable, documented out-of-pocket expenses, including legal expenses, incurred by the Company in connection with the foregoing, being borne by such Investor Party) in connection with such Investor Party obtaining any Permitted Loan, including with respect to the following: (i) entering into an issuer agreement (in customary form and substance reasonably satisfactory to the Company and the sources of the Permitted Loan) with each lender in connection with such transactions (which agreement may include agreements and obligations of the Company relating to procedures and specified time periods for effecting transfers and/or conversions upon Foreclosure, agreements to not hinder or delay exercises of remedies on Foreclosure, acknowledgments regarding organizational documents and corporate policy, if applicable, and certain acknowledgments regarding the pledged shares of Preferred Stock and/or shares of Common Stock issued upon conversion of shares of Preferred Stock and securities law status of the pledge arrangements and a specified list of Competitors (which, for the avoidance of doubt, shall only apply if such transaction is not undertaken in a registered offering or an offering exempt from registration under Rule 144 or Rule 144A of the Securities Act), (ii) using commercially reasonable efforts to (A) remove any restrictive legends on certificates representing pledged shares of Preferred Stock and/or shares of Common Stock issued upon conversion of shares of Preferred Stock and depositing any pledged shares of Preferred Stock and/or shares of Common Stock issued upon conversion of shares of Preferred Stock in book entry form on the books of The Depository Trust Company, in each case when eligible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65" w:right="339" w:bottom="1440" w:gutter="0" w:footer="0" w:header="0"/>
        </w:sectPr>
      </w:pPr>
    </w:p>
    <w:bookmarkStart w:id="156" w:name="page157"/>
    <w:bookmarkEnd w:id="156"/>
    <w:p>
      <w:pPr>
        <w:jc w:val="both"/>
        <w:spacing w:after="0" w:line="212" w:lineRule="auto"/>
        <w:rPr>
          <w:sz w:val="20"/>
          <w:szCs w:val="20"/>
          <w:color w:val="auto"/>
        </w:rPr>
      </w:pPr>
      <w:r>
        <w:rPr>
          <w:rFonts w:ascii="Times New Roman" w:cs="Times New Roman" w:eastAsia="Times New Roman" w:hAnsi="Times New Roman"/>
          <w:sz w:val="21"/>
          <w:szCs w:val="21"/>
          <w:color w:val="auto"/>
        </w:rPr>
        <w:t>or otherwise as agreed with the transfer agent (and providing any necessary indemnities to the transfer agent in connection therewith) or (B) without limiting the generality of clause (A), if such shares of Preferred Stock or Common Stock are eligible for resale under Rule 144A, depositing such pledged shares of Preferred Stock and/or shares of Common Stock in book entry form on the books of The Depository Trust Company or other depository with customary representations and warranties from the applicable Investor Party or its applicable Affiliates regarding compliance with securities Laws, (iii) if so requested by such lender or counterparty, as applicable, re-registering on the books and records of the transfer agent the pledged shares of Preferred Stock and/or Common Stock in the name of the relevant lender, agent, counterparty, custodian or similar party to a Permitted Loan, with respect to a Permitted Loan as securities intermediary and only to the extent the Investor Parties (or its or their Affiliates) continue to beneficially own such pledged shares of Preferred Stock and/or Common Stock, (iv) entering into customary triparty agreements (in form and substance reasonably satisfactory to the Company and the sources of the Permitted Loan) with each lender and the applicable Investor Parties relating to the delivery of the applicable shares of Preferred Stock and/or Common Stock to the relevant lender for crediting to the relevant collateral accounts upon funding of the loan and payment of the purchase price including a right for such lender as a third party beneficiary of the Company’s obligations hereunder and (v) such other cooperation and assistance as the Investor Parties may reasonably request (which cooperation and assistance, for the avoidance of doubt, shall not include any requirements that the Company deliver information, compliance certificates or any other materials typically provided by borrowers to lenders) that will not unreasonably disrupt the operation of the Company’s business. Notwithstanding anything to the contrary in the preceding sentence, the Company’s obligation to deliver an issuer agreement is conditioned on the Investors certifying to the Company in writing that (A) the loan agreement with respect to which the issuer agreement is being delivered constitutes a Permitted Loan being entered into in accordance with this Agreement, the Investors have pledged the Preferred Stock and/or the underlying shares of Common Stock as collateral to the lenders under such Permitted Loan and that the execution of such Permitted Loan and the terms thereof do not violate the terms of this Agreement, (B) to the extent applicable, whether the registration rights under the Registration Rights Agreement are being assigned to the lenders under that Permitted Loan and (C) the Investor Parties acknowledge and agree that the Company will be relying on such certificate when entering into the issuer agreement and any material inaccuracy in such certificate will be deemed a breach of this Agreement. The Investor Parties acknowledge and agree that the statements and agreements of the Company in an issuer agreement are solely for the benefit of the applicable lenders party thereto and that in any dispute between the Company and the Investor Parties under this Agreement the Investor Parties shall not be entitled to use the statements and agreements of the Company in an issuer agreement against the Company.</w:t>
      </w:r>
    </w:p>
    <w:p>
      <w:pPr>
        <w:spacing w:after="0" w:line="149"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State Securities Laws</w:t>
      </w:r>
      <w:r>
        <w:rPr>
          <w:rFonts w:ascii="Times New Roman" w:cs="Times New Roman" w:eastAsia="Times New Roman" w:hAnsi="Times New Roman"/>
          <w:sz w:val="21"/>
          <w:szCs w:val="21"/>
          <w:color w:val="auto"/>
        </w:rPr>
        <w:t xml:space="preserve">. Promptly following the date hereof, the Company shall use its reasonable best efforts to (a) make all filings with the SEC under the Securities Act and Exchange Act related to the execution of the Transaction Documents and the consummation of the transactions contemplated thereby in the time periods required by (including any extensions permitted by) the Securities Act and Exchange Act, as applicable, (b) obtain all necessary permits and qualifications, if any, or secure an exemption therefrom, required by any state or country prior to the offer and sale of Common Stock and/or Preferred Stock and (c) cause such authorization, approval, permit or qualification to be effective as of the Closing and as of any conversion of Preferred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connection therewith the Company shall not be required to qualify as a foreign corporation or to file a general consent to service of process in any jurisdiction or subject itself to taxation in any jurisdiction in which it is not otherwise subject to taxation on the date of this Agreement.</w:t>
      </w:r>
    </w:p>
    <w:p>
      <w:pPr>
        <w:spacing w:after="0" w:line="15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5.15</w:t>
      </w:r>
      <w:r>
        <w:rPr>
          <w:sz w:val="20"/>
          <w:szCs w:val="20"/>
          <w:color w:val="auto"/>
        </w:rPr>
        <w:tab/>
      </w:r>
      <w:r>
        <w:rPr>
          <w:rFonts w:ascii="Times New Roman" w:cs="Times New Roman" w:eastAsia="Times New Roman" w:hAnsi="Times New Roman"/>
          <w:sz w:val="21"/>
          <w:szCs w:val="21"/>
          <w:u w:val="single" w:color="auto"/>
          <w:color w:val="auto"/>
        </w:rPr>
        <w:t>Participation Rights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65" w:right="339" w:bottom="1440" w:gutter="0" w:footer="0" w:header="0"/>
        </w:sectPr>
      </w:pPr>
    </w:p>
    <w:bookmarkStart w:id="157" w:name="page158"/>
    <w:bookmarkEnd w:id="157"/>
    <w:p>
      <w:pPr>
        <w:jc w:val="both"/>
        <w:ind w:firstLine="1905"/>
        <w:spacing w:after="0" w:line="214" w:lineRule="auto"/>
        <w:tabs>
          <w:tab w:leader="none" w:pos="252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Excluded Stock</w:t>
      </w:r>
      <w:r>
        <w:rPr>
          <w:rFonts w:ascii="Times New Roman" w:cs="Times New Roman" w:eastAsia="Times New Roman" w:hAnsi="Times New Roman"/>
          <w:sz w:val="21"/>
          <w:szCs w:val="21"/>
          <w:color w:val="auto"/>
        </w:rPr>
        <w:t>” shall mean (i) shares of equity securities issued by the Company as a stock dividend payable in shares of equity securities, or upon any subdivision or split-up of the outstanding shares of capital stock, (ii) the issuance of shares of equity securities (including upon exercise of options) to directors, employees or consultants of the Company pursuant to a Company Stock Plan or other stock option plan, restricted stock plan or other similar plan approved by the Board, (iii) securities issued pursuant to the conversion, exercise or exchange of the Preferred Stock issued to the Investors, (iv) shares of equity securities issued as consideration in connection with a “business combination” (as defined by the rules and regulations promulgated by the SEC) or as consideration in connection with bona fide acquisitions of securities or substantially all of the assets of another Person, business unit, division or business, (v) securities issued pursuant to acquisitions or strategic transactions (including, for the avoidance of doubt, whether structured as a merger, consolidation, asset or stock purchase, or other similar transaction); (vi) securities issued pursuant to the conversion, exercise or exchange of Preferred Stock, (vii) shares of a Subsidiary of the Company issued to the Company or a Subsidiary of the Company, (viii) securities of a joint venture (provided that no Affiliate (other than any Subsidiary of the Company) of the Company acquires any interest in such securities in connection with such issuance) or (ix) shares of equity securities to a third-party lender in connection with a bona fide borrowing by the Company that is primarily a debt financing transaction.</w:t>
      </w:r>
    </w:p>
    <w:p>
      <w:pPr>
        <w:spacing w:after="0" w:line="150"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2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so long as the 50% Beneficial Holding Requirement is satisfied by the Investor Parties, if the Company or a Subsidiary of the Company proposes (x) to issue equity securities of any kind (the term “equity securities” shall include for these purposes Common Stock and any warrants, options or other rights to acquire, or any securities that are exercisable for, exchangeable for or convertible into, Common Stock or any other class of capital stock of the Company), other than Excluded Stock, or (y) any Covered Financing then, the Company shall:</w:t>
      </w:r>
    </w:p>
    <w:p>
      <w:pPr>
        <w:spacing w:after="0" w:line="149" w:lineRule="exact"/>
        <w:rPr>
          <w:rFonts w:ascii="Times New Roman" w:cs="Times New Roman" w:eastAsia="Times New Roman" w:hAnsi="Times New Roman"/>
          <w:sz w:val="21"/>
          <w:szCs w:val="21"/>
          <w:color w:val="auto"/>
        </w:rPr>
      </w:pPr>
    </w:p>
    <w:p>
      <w:pPr>
        <w:jc w:val="both"/>
        <w:ind w:firstLine="2538"/>
        <w:spacing w:after="0" w:line="216" w:lineRule="auto"/>
        <w:tabs>
          <w:tab w:leader="none" w:pos="3153"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written notice to the Investor Parties, no less than five (5) Business Days prior to the closing of such issuance, setting forth in reasonable detail (A) the designation and all of the terms and provisions of the securities proposed to be issued (the “</w:t>
      </w:r>
      <w:r>
        <w:rPr>
          <w:rFonts w:ascii="Times New Roman" w:cs="Times New Roman" w:eastAsia="Times New Roman" w:hAnsi="Times New Roman"/>
          <w:sz w:val="21"/>
          <w:szCs w:val="21"/>
          <w:u w:val="single" w:color="auto"/>
          <w:color w:val="auto"/>
        </w:rPr>
        <w:t>Proposed Securities</w:t>
      </w:r>
      <w:r>
        <w:rPr>
          <w:rFonts w:ascii="Times New Roman" w:cs="Times New Roman" w:eastAsia="Times New Roman" w:hAnsi="Times New Roman"/>
          <w:sz w:val="21"/>
          <w:szCs w:val="21"/>
          <w:color w:val="auto"/>
        </w:rPr>
        <w:t>”) or the Covered Financing, including, where applicable, the voting powers, preferences and relative participating, optional or other special rights, and the qualification, limitations or restrictions thereof and interest rate and maturity; (B) the price and other terms of the proposed sale of such securities or Covered Financing; (C) the amount of such securities proposed to be issued or the amount of the Covered Financing; and (D) such other information as the Investor Parties may reasonably request in order to evaluate the proposed issuance or Covered Financing (except that the Company shall not be required to deliver any information that has not been or will not be provided or otherwise made available to the proposed purchasers of the Proposed Securities or participants in the Covered Financing); and</w:t>
      </w:r>
    </w:p>
    <w:p>
      <w:pPr>
        <w:spacing w:after="0" w:line="154" w:lineRule="exact"/>
        <w:rPr>
          <w:rFonts w:ascii="Times New Roman" w:cs="Times New Roman" w:eastAsia="Times New Roman" w:hAnsi="Times New Roman"/>
          <w:sz w:val="21"/>
          <w:szCs w:val="21"/>
          <w:color w:val="auto"/>
        </w:rPr>
      </w:pPr>
    </w:p>
    <w:p>
      <w:pPr>
        <w:jc w:val="both"/>
        <w:ind w:firstLine="2538"/>
        <w:spacing w:after="0" w:line="216" w:lineRule="auto"/>
        <w:tabs>
          <w:tab w:leader="none" w:pos="3159"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offer to issue and sell to the Investor Parties, on such terms as the Proposed Securities are issued or the Covered Financing is consummated and upon full payment by the Investor Parties, a portion of the Proposed Securities or Covered Financing equal to a percentage determined by dividing (A) the number of shares of Common Stock the Investor Parties beneficially own (on an “as-converted basis” and without regard to the provisions set forth in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hereof) by (B) the total number of shares of Common Stock then outstanding (on an “as-converted, as-exercised basis” and without regard to the provisions set forth in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hereof) (such percentage, the “</w:t>
      </w:r>
      <w:r>
        <w:rPr>
          <w:rFonts w:ascii="Times New Roman" w:cs="Times New Roman" w:eastAsia="Times New Roman" w:hAnsi="Times New Roman"/>
          <w:sz w:val="21"/>
          <w:szCs w:val="21"/>
          <w:u w:val="single" w:color="auto"/>
          <w:color w:val="auto"/>
        </w:rPr>
        <w:t>Participation Portion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compliance with the terms and conditions set forth in </w:t>
      </w:r>
      <w:r>
        <w:rPr>
          <w:rFonts w:ascii="Times New Roman" w:cs="Times New Roman" w:eastAsia="Times New Roman" w:hAnsi="Times New Roman"/>
          <w:sz w:val="21"/>
          <w:szCs w:val="21"/>
          <w:u w:val="single" w:color="auto"/>
          <w:color w:val="auto"/>
        </w:rPr>
        <w:t>Section 5.15(h)</w:t>
      </w:r>
      <w:r>
        <w:rPr>
          <w:rFonts w:ascii="Times New Roman" w:cs="Times New Roman" w:eastAsia="Times New Roman" w:hAnsi="Times New Roman"/>
          <w:sz w:val="21"/>
          <w:szCs w:val="21"/>
          <w:color w:val="auto"/>
        </w:rPr>
        <w:t>, the Company shall not be required to offer to issue or sell to the Investor Parties (or to any of them) the portion of the Proposed Securities or Covered Financing that would require the Company to obtain stockholder approval in respect of the issuance of any Proposed Securities under the listing rules of NASDAQ or any other securities exchange or any other applicable Law (so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65" w:right="339" w:bottom="1440" w:gutter="0" w:footer="0" w:header="0"/>
        </w:sectPr>
      </w:pPr>
    </w:p>
    <w:bookmarkStart w:id="158" w:name="page159"/>
    <w:bookmarkEnd w:id="158"/>
    <w:p>
      <w:pPr>
        <w:jc w:val="both"/>
        <w:spacing w:after="0" w:line="222" w:lineRule="auto"/>
        <w:rPr>
          <w:sz w:val="20"/>
          <w:szCs w:val="20"/>
          <w:color w:val="auto"/>
        </w:rPr>
      </w:pPr>
      <w:r>
        <w:rPr>
          <w:rFonts w:ascii="Times New Roman" w:cs="Times New Roman" w:eastAsia="Times New Roman" w:hAnsi="Times New Roman"/>
          <w:sz w:val="21"/>
          <w:szCs w:val="21"/>
          <w:color w:val="auto"/>
        </w:rPr>
        <w:t>as any Person with rights under Section 5.15 of the Apollo Investment Agreement is similarly limited on a proportional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shall still be obligated to provide written notice of such proposed issuance to the Investor Parties pursuant to </w:t>
      </w:r>
      <w:r>
        <w:rPr>
          <w:rFonts w:ascii="Times New Roman" w:cs="Times New Roman" w:eastAsia="Times New Roman" w:hAnsi="Times New Roman"/>
          <w:sz w:val="21"/>
          <w:szCs w:val="21"/>
          <w:u w:val="single" w:color="auto"/>
          <w:color w:val="auto"/>
        </w:rPr>
        <w:t>Section 5.15(b)(i)</w:t>
      </w:r>
      <w:r>
        <w:rPr>
          <w:rFonts w:ascii="Times New Roman" w:cs="Times New Roman" w:eastAsia="Times New Roman" w:hAnsi="Times New Roman"/>
          <w:sz w:val="21"/>
          <w:szCs w:val="21"/>
          <w:color w:val="auto"/>
        </w:rPr>
        <w:t>, which notice shall include a description of the Proposed Securities(including the number thereof) or Covered Financing that would require stockholder approval in respect of the issuance thereof (the “</w:t>
      </w:r>
      <w:r>
        <w:rPr>
          <w:rFonts w:ascii="Times New Roman" w:cs="Times New Roman" w:eastAsia="Times New Roman" w:hAnsi="Times New Roman"/>
          <w:sz w:val="21"/>
          <w:szCs w:val="21"/>
          <w:u w:val="single" w:color="auto"/>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Issuance Information</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905"/>
        <w:spacing w:after="0" w:line="213" w:lineRule="auto"/>
        <w:tabs>
          <w:tab w:leader="none" w:pos="252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Investors will have the option, on behalf of the applicable Investor Parties, exercisable by written notice to the Company, to accept the Company’s offer and commit to purchase any or all of the securities offered to be sold by the Company or enter into such other Covered Financing as the Company proposes to enter to the Investor Parties, which notice must be given within three (3) Business Days after receipt of such notice from the Company. The closing of the exercise of such subscription or participation right shall take place simultaneously with the closing of the sale of the Proposed Securities or Covered Financing giving rise to such subscription or participation right;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closing of any purchase or other funding by any such Investor Party may be extended beyond the closing of the sale of the Proposed Securities or consummation of the Covered Financing giving rise to such preemptive right (but shall not delay such closing for any other purchaser or financing party) to the extent necessary to (i) obtain required approvals from any Governmental Authority or (ii) permit the Investor Parties to receive proceeds from calling capital pursuant to commitments made by its (or its affiliated investment funds’) limited partners. If the Investors elect to purchase any securities or participate in a Covered Financing pursuant to this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 the Investors, at their sole expense, shall make any filings required in connection with such participation under antitrust or other applicable Law promptly following the delivery to the Company of the corresponding notice of acceptance and shall use reasonable best efforts to obtain applicable antitrust clearance and/or approval under antitrust or other applicable Laws. Notwithstanding anything to the contrary contained herein, if the Company desires to modify or amend the terms and conditions of the offer prior to the expiration of the offering period described above, the Company shall deliver to the Investors a new notice and the Investors will have the option, on behalf of the applicable Investor Parties, exercisable by written notice to the Company, to accept the Company’s offer and commit to purchase any or all of the securities offered to be sold by the Company to the Investor Parties, or participate in any or all of a Covered Financing, which notice must be given within three (3) Business Days after receipt of such new notice from the Company.</w:t>
      </w:r>
    </w:p>
    <w:p>
      <w:pPr>
        <w:spacing w:after="0" w:line="148"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expiration of the offering period described above, the Company will be free to sell such Proposed Securities that the Investor Parties have not elected to purchase or enter into a Covered Financing that the Investor Parties have not elected to participate in during the ninety (90) days following such expiration on terms and conditions no more favorable to the purchasers thereof than those offered to the Investor Parties in the notice delivered in accordance with </w:t>
      </w:r>
      <w:r>
        <w:rPr>
          <w:rFonts w:ascii="Times New Roman" w:cs="Times New Roman" w:eastAsia="Times New Roman" w:hAnsi="Times New Roman"/>
          <w:sz w:val="21"/>
          <w:szCs w:val="21"/>
          <w:u w:val="single" w:color="auto"/>
          <w:color w:val="auto"/>
        </w:rPr>
        <w:t>Section 5.15(b)</w:t>
      </w:r>
      <w:r>
        <w:rPr>
          <w:rFonts w:ascii="Times New Roman" w:cs="Times New Roman" w:eastAsia="Times New Roman" w:hAnsi="Times New Roman"/>
          <w:sz w:val="21"/>
          <w:szCs w:val="21"/>
          <w:color w:val="auto"/>
        </w:rPr>
        <w:t xml:space="preserve">. Any Proposed Securities offered or sold by the Company or Covered Financing after such ninety (90)-day period must be reoffered to the Investor Parties pursuant to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ind w:firstLine="1905"/>
        <w:spacing w:after="0" w:line="244" w:lineRule="auto"/>
        <w:tabs>
          <w:tab w:leader="none" w:pos="252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election by any Investor Party not to exercise its subscription or participation rights under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in any one instance shall not affect their right as to any subsequent proposed issuance.</w:t>
      </w:r>
    </w:p>
    <w:p>
      <w:pPr>
        <w:spacing w:after="0" w:line="142" w:lineRule="exact"/>
        <w:rPr>
          <w:rFonts w:ascii="Times New Roman" w:cs="Times New Roman" w:eastAsia="Times New Roman" w:hAnsi="Times New Roman"/>
          <w:sz w:val="21"/>
          <w:szCs w:val="21"/>
          <w:color w:val="auto"/>
        </w:rPr>
      </w:pPr>
    </w:p>
    <w:p>
      <w:pPr>
        <w:jc w:val="both"/>
        <w:ind w:firstLine="1905"/>
        <w:spacing w:after="0" w:line="222" w:lineRule="auto"/>
        <w:tabs>
          <w:tab w:leader="none" w:pos="253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to the contrary, the Company will not be deemed to have breached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if not later than thirty (30) Business Days following the issuance of any Proposed Securities or entry into a Covered Financing in contravention of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the Company or the transferee of such Proposed Securities or party to such Covered Financing offers to sell a portion of such equity securities or additional equity securities of the type(s) or enter into a financing arrangement of the type(s)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65" w:right="339" w:bottom="1440" w:gutter="0" w:footer="0" w:header="0"/>
        </w:sectPr>
      </w:pPr>
    </w:p>
    <w:bookmarkStart w:id="159" w:name="page160"/>
    <w:bookmarkEnd w:id="159"/>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question to each Investor Party so that, taking into account such previously-issued Proposed Securities and any such additional Proposed Securities, or such previous Covered Financing and such additional proposed financing, each Investor Party will have had the right to purchase or subscribe for Proposed Securities or participate in the Covered Financing in a manner consistent with the allocation and other terms and upon the same economic and other terms provided for in </w:t>
      </w:r>
      <w:r>
        <w:rPr>
          <w:rFonts w:ascii="Times New Roman" w:cs="Times New Roman" w:eastAsia="Times New Roman" w:hAnsi="Times New Roman"/>
          <w:sz w:val="21"/>
          <w:szCs w:val="21"/>
          <w:u w:val="single" w:color="auto"/>
          <w:color w:val="auto"/>
        </w:rPr>
        <w:t>Section 5.15(b)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905"/>
        <w:spacing w:after="0" w:line="225" w:lineRule="auto"/>
        <w:tabs>
          <w:tab w:leader="none" w:pos="252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issuance subject to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for consideration in whole or in part other than cash, including securities acquired in exchange therefor (other than securities by their terms so exchangeable), the consideration other than cash shall be deemed to be the Fair Market Value thereof. Notwithstanding anything in this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to the contrary, the Investors’ participation rights shall not include an offering of securities acquired in exchange for the Convertible Notes.</w:t>
      </w:r>
    </w:p>
    <w:p>
      <w:pPr>
        <w:spacing w:after="0" w:line="149"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Company is not required to offer or reoffer to the Investor Parties any Proposed Securities because such issuance would require the Company to obtain stockholder approval in respect of the issuance of any Proposed Securities under the listing rules of NASDAQ or any other securities exchange or any other applicable Law, the Company shall, upon the Investor Parties’ reasonable request delivered to the Company in writing within no later than three (3) Business Days following its receipt of the written notice of such issuance to the Investor Parties pursuant to </w:t>
      </w:r>
      <w:r>
        <w:rPr>
          <w:rFonts w:ascii="Times New Roman" w:cs="Times New Roman" w:eastAsia="Times New Roman" w:hAnsi="Times New Roman"/>
          <w:sz w:val="21"/>
          <w:szCs w:val="21"/>
          <w:u w:val="single" w:color="auto"/>
          <w:color w:val="auto"/>
        </w:rPr>
        <w:t>Section 5.15(b)(i)</w:t>
      </w:r>
      <w:r>
        <w:rPr>
          <w:rFonts w:ascii="Times New Roman" w:cs="Times New Roman" w:eastAsia="Times New Roman" w:hAnsi="Times New Roman"/>
          <w:sz w:val="21"/>
          <w:szCs w:val="21"/>
          <w:color w:val="auto"/>
        </w:rPr>
        <w:t xml:space="preserve"> (together with the Restricted Issuance Information), at the Investor Parties’ election:</w:t>
      </w:r>
    </w:p>
    <w:p>
      <w:pPr>
        <w:spacing w:after="0" w:line="149" w:lineRule="exact"/>
        <w:rPr>
          <w:rFonts w:ascii="Times New Roman" w:cs="Times New Roman" w:eastAsia="Times New Roman" w:hAnsi="Times New Roman"/>
          <w:sz w:val="21"/>
          <w:szCs w:val="21"/>
          <w:color w:val="auto"/>
        </w:rPr>
      </w:pPr>
    </w:p>
    <w:p>
      <w:pPr>
        <w:jc w:val="both"/>
        <w:ind w:firstLine="2538"/>
        <w:spacing w:after="0" w:line="222" w:lineRule="auto"/>
        <w:tabs>
          <w:tab w:leader="none" w:pos="315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the restrictions set forth in paragraph 1 of the Elliott Letter Agreement solely to the extent necessary to permit any Investor Party to acquire such number of securities of the Company (including Common Stock) equivalent to its Participation Portion of the Proposed Securities such Investor Party would have been entitled to purchase had it been entitled to acquire such Proposed Securities pursuant to </w:t>
      </w:r>
      <w:r>
        <w:rPr>
          <w:rFonts w:ascii="Times New Roman" w:cs="Times New Roman" w:eastAsia="Times New Roman" w:hAnsi="Times New Roman"/>
          <w:sz w:val="21"/>
          <w:szCs w:val="21"/>
          <w:u w:val="single" w:color="auto"/>
          <w:color w:val="auto"/>
        </w:rPr>
        <w:t>Section 5.15(c)</w:t>
      </w:r>
      <w:r>
        <w:rPr>
          <w:rFonts w:ascii="Times New Roman" w:cs="Times New Roman" w:eastAsia="Times New Roman" w:hAnsi="Times New Roman"/>
          <w:sz w:val="21"/>
          <w:szCs w:val="21"/>
          <w:color w:val="auto"/>
        </w:rPr>
        <w:t xml:space="preserve"> (provided, that such request by Investor Parties shall not be deemed to be a violation of the Elliott Letter Agreement);</w:t>
      </w:r>
    </w:p>
    <w:p>
      <w:pPr>
        <w:spacing w:after="0" w:line="149" w:lineRule="exact"/>
        <w:rPr>
          <w:rFonts w:ascii="Times New Roman" w:cs="Times New Roman" w:eastAsia="Times New Roman" w:hAnsi="Times New Roman"/>
          <w:sz w:val="21"/>
          <w:szCs w:val="21"/>
          <w:color w:val="auto"/>
        </w:rPr>
      </w:pPr>
    </w:p>
    <w:p>
      <w:pPr>
        <w:jc w:val="both"/>
        <w:ind w:firstLine="2538"/>
        <w:spacing w:after="0" w:line="225" w:lineRule="auto"/>
        <w:tabs>
          <w:tab w:leader="none" w:pos="3159"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consider and discuss in good faith modifications proposed by the Investor Parties to the terms and conditions of such portion of the Proposed Securities which would otherwise be issued to the Investor Parties such that the Company would not be required to obtain stockholder approval in respect of the issuance of such Proposed Securities as so modified; and/or</w:t>
      </w:r>
    </w:p>
    <w:p>
      <w:pPr>
        <w:spacing w:after="0" w:line="149" w:lineRule="exact"/>
        <w:rPr>
          <w:rFonts w:ascii="Times New Roman" w:cs="Times New Roman" w:eastAsia="Times New Roman" w:hAnsi="Times New Roman"/>
          <w:sz w:val="21"/>
          <w:szCs w:val="21"/>
          <w:color w:val="auto"/>
        </w:rPr>
      </w:pPr>
    </w:p>
    <w:p>
      <w:pPr>
        <w:jc w:val="both"/>
        <w:ind w:firstLine="2538"/>
        <w:spacing w:after="0" w:line="231" w:lineRule="auto"/>
        <w:tabs>
          <w:tab w:leader="none" w:pos="3165"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to the extent that stockholder approval is required in connection with the issuance of equity securities to Persons other than the Investor Parties, take such actions as may be reasonably necessary to seek stockholder approval in respect of the issuance of any Proposed Securities to the Investor Parties.</w:t>
      </w:r>
    </w:p>
    <w:p>
      <w:pPr>
        <w:spacing w:after="0" w:line="147" w:lineRule="exact"/>
        <w:rPr>
          <w:sz w:val="20"/>
          <w:szCs w:val="20"/>
          <w:color w:val="auto"/>
        </w:rPr>
      </w:pPr>
    </w:p>
    <w:p>
      <w:pPr>
        <w:jc w:val="both"/>
        <w:ind w:firstLine="1266"/>
        <w:spacing w:after="0" w:line="216"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Section 16 Matters</w:t>
      </w:r>
      <w:r>
        <w:rPr>
          <w:rFonts w:ascii="Times New Roman" w:cs="Times New Roman" w:eastAsia="Times New Roman" w:hAnsi="Times New Roman"/>
          <w:sz w:val="21"/>
          <w:szCs w:val="21"/>
          <w:color w:val="auto"/>
        </w:rPr>
        <w:t>. If the Company becomes a party to a consolidation, merger or other similar transaction that may result in the Investors, their respective Affiliates, or any Elliott Director being deemed to have made a disposition of equity securities of the Company or derivatives thereof for purposes of Section 16 of the Exchange Act, and if an Elliott Director is serving on the Board at such time or has served on the Board during the preceding six (6) months, then (i) the Board will pre-approve such disposition of equity securities or derivatives thereof for the express purpose of exempting the Investors’, their respective Affiliates’ and the Elliott Director’s interests (to the extent the Investors or their respective Affiliates may be deemed to be “directors by deputization”) in such transaction from Section 16(b) of the Exchange Act pursuant to Rule 16b-3 thereunder and (ii) if the transaction involves (A) a merger or consolidation to which the Company is a party and Company capital stock is, in whole or in part, converted into or exchanged for equity securities of a different issuer, (B)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65" w:right="339" w:bottom="1440" w:gutter="0" w:footer="0" w:header="0"/>
        </w:sectPr>
      </w:pPr>
    </w:p>
    <w:bookmarkStart w:id="160" w:name="page161"/>
    <w:bookmarkEnd w:id="160"/>
    <w:p>
      <w:pPr>
        <w:jc w:val="both"/>
        <w:spacing w:after="0" w:line="216" w:lineRule="auto"/>
        <w:rPr>
          <w:sz w:val="20"/>
          <w:szCs w:val="20"/>
          <w:color w:val="auto"/>
        </w:rPr>
      </w:pPr>
      <w:r>
        <w:rPr>
          <w:rFonts w:ascii="Times New Roman" w:cs="Times New Roman" w:eastAsia="Times New Roman" w:hAnsi="Times New Roman"/>
          <w:sz w:val="21"/>
          <w:szCs w:val="21"/>
          <w:color w:val="auto"/>
        </w:rPr>
        <w:t>potential acquisition by the Investors, the Investors’ Affiliates and/or any Elliott Director of equity securities of such other issuer or derivatives thereof and (C) an Affiliate or other designee of the Investors or their respective Affiliates that will serve on the board of directors (or its equivalent) of such other issuer, then if the Investors require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request that such other issuer pre-approve any such acquisitions of equity securities or derivatives thereof for the express purpose of exempting the interests of the Investors’, their respective Affiliates’ and any Elliott Director’s (for the Investors and/or their respective Affiliates, to the extent such persons may be deemed to be “directors by deputization” of such other issuer) in such transactions from Section 16(b) of the Exchange Act pursuant to Rule 16b-3 thereunder.</w:t>
      </w:r>
    </w:p>
    <w:p>
      <w:pPr>
        <w:spacing w:after="0" w:line="15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5.17</w:t>
      </w:r>
      <w:r>
        <w:rPr>
          <w:sz w:val="20"/>
          <w:szCs w:val="20"/>
          <w:color w:val="auto"/>
        </w:rPr>
        <w:tab/>
      </w:r>
      <w:r>
        <w:rPr>
          <w:rFonts w:ascii="Times New Roman" w:cs="Times New Roman" w:eastAsia="Times New Roman" w:hAnsi="Times New Roman"/>
          <w:sz w:val="21"/>
          <w:szCs w:val="21"/>
          <w:u w:val="single" w:color="auto"/>
          <w:color w:val="auto"/>
        </w:rPr>
        <w:t>Information Rights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25" w:lineRule="auto"/>
        <w:tabs>
          <w:tab w:leader="none" w:pos="252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so long as the 25% Beneficial Holding Requirement is satisfied by the Investor Parties, to the extent requested in writing by the Investors, the Company agrees promptly to provide the Investors with the same information and access to members of the Company’s management team as provided to lenders under the Credit Agreement or the Indenture (or, in each case, any replacement or refinancing thereof) or any other senior indebtedness of the Company.</w:t>
      </w:r>
    </w:p>
    <w:p>
      <w:pPr>
        <w:spacing w:after="0" w:line="149" w:lineRule="exact"/>
        <w:rPr>
          <w:rFonts w:ascii="Times New Roman" w:cs="Times New Roman" w:eastAsia="Times New Roman" w:hAnsi="Times New Roman"/>
          <w:sz w:val="21"/>
          <w:szCs w:val="21"/>
          <w:color w:val="auto"/>
        </w:rPr>
      </w:pPr>
    </w:p>
    <w:p>
      <w:pPr>
        <w:jc w:val="both"/>
        <w:ind w:firstLine="1905"/>
        <w:spacing w:after="0" w:line="216" w:lineRule="auto"/>
        <w:tabs>
          <w:tab w:leader="none" w:pos="252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Individuals associated with the Investor Parties may from time to time serve on the Board or the equivalent governing body of the Company’s Subsidiaries. The Company, on its behalf and on behalf of its Subsidiaries, recognizes that such individuals (i) will from time to time receive non-public information concerning the Company and its Subsidiaries, and (ii) may (subject to the obligation to maintain the confidentiality of such information in accordance with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share such information with other individuals associated with the Investor Parties who have a need to know such information for the purpose of facilitating support to such individuals in their capacity as members of the Board or such equivalent governing body or enabling the Investor Parties, as equityholders, to better evaluate the Company’s performance and prospects;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other individuals are informed about the confidential nature of such information and agree in writing to maintain the confidentiality of such information consistent with the confidentiality obligations under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w:t>
      </w:r>
    </w:p>
    <w:p>
      <w:pPr>
        <w:spacing w:after="0" w:line="154" w:lineRule="exact"/>
        <w:rPr>
          <w:rFonts w:ascii="Times New Roman" w:cs="Times New Roman" w:eastAsia="Times New Roman" w:hAnsi="Times New Roman"/>
          <w:sz w:val="21"/>
          <w:szCs w:val="21"/>
          <w:color w:val="auto"/>
        </w:rPr>
      </w:pPr>
    </w:p>
    <w:p>
      <w:pPr>
        <w:jc w:val="both"/>
        <w:ind w:firstLine="1905"/>
        <w:spacing w:after="0" w:line="216" w:lineRule="auto"/>
        <w:tabs>
          <w:tab w:leader="none" w:pos="252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its obligations under Section 5.06(c), the Company acknowledges that neither the Investors nor any of their respective Affiliates owes the Company or any of its Affiliates any duty that would either restrain the Investors or any of their respective Affiliates from purchasing, selling or otherwise trading in any securities of the Company or any derivatives of such securities, in each case, in compliance with applicable securities Laws, and nothing in this Agreement shall be deemed to create any such duty. The Company agrees that, upon the written request of an Investor, it will confirm to the Investors in writing whether the Company is in an Open Window as promptly as practicable (and within no more than one Business Day) after such request. “</w:t>
      </w:r>
      <w:r>
        <w:rPr>
          <w:rFonts w:ascii="Times New Roman" w:cs="Times New Roman" w:eastAsia="Times New Roman" w:hAnsi="Times New Roman"/>
          <w:sz w:val="21"/>
          <w:szCs w:val="21"/>
          <w:u w:val="single" w:color="auto"/>
          <w:color w:val="auto"/>
        </w:rPr>
        <w:t>Open Window</w:t>
      </w:r>
      <w:r>
        <w:rPr>
          <w:rFonts w:ascii="Times New Roman" w:cs="Times New Roman" w:eastAsia="Times New Roman" w:hAnsi="Times New Roman"/>
          <w:sz w:val="21"/>
          <w:szCs w:val="21"/>
          <w:color w:val="auto"/>
        </w:rPr>
        <w:t>” means a period in which (i) the Company does not have in place any restrictions on the ability of members of the Board to trade in the securities of the Company or (ii) the Company is buying, selling or offering to sell securities of the Company in the public markets.</w:t>
      </w:r>
    </w:p>
    <w:p>
      <w:pPr>
        <w:spacing w:after="0" w:line="15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b w:val="1"/>
          <w:bCs w:val="1"/>
          <w:color w:val="auto"/>
        </w:rPr>
        <w:t>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65" w:right="339" w:bottom="1440" w:gutter="0" w:footer="0" w:header="0"/>
        </w:sectPr>
      </w:pPr>
    </w:p>
    <w:bookmarkStart w:id="161" w:name="page162"/>
    <w:bookmarkEnd w:id="161"/>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All representations and warranties contained in this Agreement (including the schedules and the certificates delivered pursuant hereto) will survive the Closing Date, with respect to the representations and warranties made at the Closing Date until the twelve (12) month anniversary of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Fundamental Representations shall survive the Closing for forty-eight (48) months following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 until the applicable survival period therefor as described above expires. Notwithstanding anything in this Agreement to the contrary, subject to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(a) in no event will the Investor Related Parties, collectively, have any liability (including damages for fraud or breach, whether willful, intentional, unintentional or otherwise (including willful breach) or monetary damages in lieu of specific performance) in the aggregate in excess of the amount of the Purchase Price, and (b) in no event will the Company Related Parties, collectively, have any liability in the aggregate in excess of the amount of the Purchase Price, except in the case of fraud.</w:t>
      </w:r>
    </w:p>
    <w:p>
      <w:pPr>
        <w:spacing w:after="0" w:line="1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85" w:lineRule="exact"/>
        <w:rPr>
          <w:sz w:val="20"/>
          <w:szCs w:val="20"/>
          <w:color w:val="auto"/>
        </w:rPr>
      </w:pPr>
    </w:p>
    <w:p>
      <w:pPr>
        <w:jc w:val="both"/>
        <w:ind w:firstLine="1266"/>
        <w:spacing w:after="0" w:line="244"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Subject to compliance with applicable Law, this Agreement may be amended or supplemented in any and all respects only by written agreement of the parties hereto.</w:t>
      </w:r>
    </w:p>
    <w:p>
      <w:pPr>
        <w:spacing w:after="0" w:line="142" w:lineRule="exact"/>
        <w:rPr>
          <w:sz w:val="20"/>
          <w:szCs w:val="20"/>
          <w:color w:val="auto"/>
        </w:rPr>
      </w:pPr>
    </w:p>
    <w:p>
      <w:pPr>
        <w:jc w:val="both"/>
        <w:ind w:firstLine="1266"/>
        <w:spacing w:after="0" w:line="217" w:lineRule="auto"/>
        <w:rPr>
          <w:sz w:val="20"/>
          <w:szCs w:val="20"/>
          <w:color w:val="auto"/>
        </w:rPr>
      </w:pPr>
      <w:r>
        <w:rPr>
          <w:rFonts w:ascii="Times New Roman" w:cs="Times New Roman" w:eastAsia="Times New Roman" w:hAnsi="Times New Roman"/>
          <w:sz w:val="21"/>
          <w:szCs w:val="21"/>
          <w:color w:val="auto"/>
        </w:rPr>
        <w:t xml:space="preserve">Section 7.02 </w:t>
      </w:r>
      <w:r>
        <w:rPr>
          <w:rFonts w:ascii="Times New Roman" w:cs="Times New Roman" w:eastAsia="Times New Roman" w:hAnsi="Times New Roman"/>
          <w:sz w:val="21"/>
          <w:szCs w:val="21"/>
          <w:u w:val="single" w:color="auto"/>
          <w:color w:val="auto"/>
        </w:rPr>
        <w:t>Extension of Time, Waiver, Etc.</w:t>
      </w:r>
      <w:r>
        <w:rPr>
          <w:rFonts w:ascii="Times New Roman" w:cs="Times New Roman" w:eastAsia="Times New Roman" w:hAnsi="Times New Roman"/>
          <w:sz w:val="21"/>
          <w:szCs w:val="21"/>
          <w:color w:val="auto"/>
        </w:rPr>
        <w:t xml:space="preserve"> The Company and the Investors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Investors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52"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17" w:lineRule="auto"/>
        <w:tabs>
          <w:tab w:leader="none" w:pos="2596"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without the prior written consent of the Company, the Investors or any Investor Party may assign its rights, interests and obligations set forth in (i) this Agreement, in whole or in part, to one or more of their Affiliates or (ii)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and, to the extent the assignment is made in connection with a Transfer of at least 10% of the then outstanding Preferred Stock (or any Common Stock issued upon conversion of such Preferred Stock), the rights, interests and obligations set forth in the Registration Rights Agreement, to a Third Party, so long as in each case of the foregoing clauses (i) and (ii), the assignee shall agree in writing to be bound by the provisions of this Agreement and, if applicable, the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65" w:right="339" w:bottom="1440" w:gutter="0" w:footer="0" w:header="0"/>
        </w:sectPr>
      </w:pPr>
    </w:p>
    <w:bookmarkStart w:id="162" w:name="page163"/>
    <w:bookmarkEnd w:id="162"/>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Agreement, including the rights, interests and obligations so assigned, (B) without the prior written consent of the Company, the Investors may grant a security interest in its respective rights (but not its obligations) under this Agreement in connection any Permitted Loan and (C) if the Company consolidates or merges with or into any Person and the Common Stock is, in whole or in part, converted into or exchanged for securities of a different issuer in a transaction that does not constitute a Fundamental Change, then as a condition to such transaction the Company will cause such issuer to assume all of the Company’s rights and obligations under this Agreement in a written instrument delivered to the Investors;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such assignment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will relieve the Investors of their respective obligations hereunder prior to the Closing. Subject to the immediately preceding sentence, this Agreement shall be binding upon, inure to the benefit of, and be enforceable by, the parties hereto and their respective successors and permitted assigns.</w:t>
      </w:r>
    </w:p>
    <w:p>
      <w:pPr>
        <w:spacing w:after="0" w:line="154" w:lineRule="exact"/>
        <w:rPr>
          <w:sz w:val="20"/>
          <w:szCs w:val="20"/>
          <w:color w:val="auto"/>
        </w:rPr>
      </w:pPr>
    </w:p>
    <w:p>
      <w:pPr>
        <w:jc w:val="both"/>
        <w:ind w:firstLine="1905"/>
        <w:spacing w:after="0" w:line="222" w:lineRule="auto"/>
        <w:tabs>
          <w:tab w:leader="none" w:pos="252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Investors understand and agree that the rights and obligations set forth under </w:t>
      </w:r>
      <w:r>
        <w:rPr>
          <w:rFonts w:ascii="Times New Roman" w:cs="Times New Roman" w:eastAsia="Times New Roman" w:hAnsi="Times New Roman"/>
          <w:sz w:val="21"/>
          <w:szCs w:val="21"/>
          <w:u w:val="single" w:color="auto"/>
          <w:color w:val="auto"/>
        </w:rPr>
        <w:t>Section 5.01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5.08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5.17</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u w:val="single" w:color="auto"/>
          <w:color w:val="auto"/>
        </w:rPr>
        <w:t>Initial Investor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Rights</w:t>
      </w:r>
      <w:r>
        <w:rPr>
          <w:rFonts w:ascii="Times New Roman" w:cs="Times New Roman" w:eastAsia="Times New Roman" w:hAnsi="Times New Roman"/>
          <w:sz w:val="21"/>
          <w:szCs w:val="21"/>
          <w:color w:val="auto"/>
        </w:rPr>
        <w:t>”) shall inure solely to the benefit of the Investor Parties and, notwithstanding anything in this Agreement to the contrary, the Investors shall not Transfer or assign, in whole or in part, by operation of Law or otherwise, any or all of the Initial Investor Rights to any Person (other than an Affiliate as otherwise permitted by this Agreement).</w:t>
      </w:r>
    </w:p>
    <w:p>
      <w:pPr>
        <w:spacing w:after="0" w:line="149" w:lineRule="exact"/>
        <w:rPr>
          <w:sz w:val="20"/>
          <w:szCs w:val="20"/>
          <w:color w:val="auto"/>
        </w:rPr>
      </w:pPr>
    </w:p>
    <w:p>
      <w:pPr>
        <w:jc w:val="both"/>
        <w:ind w:firstLine="1266"/>
        <w:spacing w:after="0" w:line="222"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(including by facsimile or electronic mail (including pdf or any electronic signature complying with the U.S. federal ESIGN Act of 2000, e.g., www.docusign.com)),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49" w:lineRule="exact"/>
        <w:rPr>
          <w:sz w:val="20"/>
          <w:szCs w:val="20"/>
          <w:color w:val="auto"/>
        </w:rPr>
      </w:pPr>
    </w:p>
    <w:p>
      <w:pPr>
        <w:jc w:val="both"/>
        <w:ind w:firstLine="1266"/>
        <w:spacing w:after="0" w:line="218"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Entire Agreement; No Third-Party Beneficiaries</w:t>
      </w:r>
      <w:r>
        <w:rPr>
          <w:rFonts w:ascii="Times New Roman" w:cs="Times New Roman" w:eastAsia="Times New Roman" w:hAnsi="Times New Roman"/>
          <w:sz w:val="21"/>
          <w:szCs w:val="21"/>
          <w:color w:val="auto"/>
        </w:rPr>
        <w:t xml:space="preserve">. This Agreement, including the Company Disclosure Letter, together with the other Transaction Documents, the Certificate of Designations, the Elliott Letter Agreement and that certain confidentiality agreement, dated June 7, 2022, between the Company and Elliott (as amended as of the date hereof),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xml:space="preserve"> shall be for the benefit of and fully enforceable by each of the Investor Related Parties.</w:t>
      </w:r>
    </w:p>
    <w:p>
      <w:pPr>
        <w:spacing w:after="0" w:line="153"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7.06</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1905"/>
        <w:spacing w:after="0" w:line="231" w:lineRule="auto"/>
        <w:tabs>
          <w:tab w:leader="none" w:pos="252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46" w:lineRule="exact"/>
        <w:rPr>
          <w:rFonts w:ascii="Times New Roman" w:cs="Times New Roman" w:eastAsia="Times New Roman" w:hAnsi="Times New Roman"/>
          <w:sz w:val="21"/>
          <w:szCs w:val="21"/>
          <w:color w:val="auto"/>
        </w:rPr>
      </w:pPr>
    </w:p>
    <w:p>
      <w:pPr>
        <w:jc w:val="both"/>
        <w:ind w:firstLine="1905"/>
        <w:spacing w:after="0" w:line="220" w:lineRule="auto"/>
        <w:tabs>
          <w:tab w:leader="none" w:pos="252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Actions arising out of or relating to this Agreement shall be heard and determined in the Chancery Court of the State of Delaware (or, if the Chancery Court of the State of Delaware declines to accept jurisdiction over any Action, any state or federal court within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shall not constitute general consents to service of process in the State of Delaware and shall have no effect for any purpose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65" w:right="339" w:bottom="1440" w:gutter="0" w:footer="0" w:header="0"/>
        </w:sectPr>
      </w:pPr>
    </w:p>
    <w:bookmarkStart w:id="163" w:name="page164"/>
    <w:bookmarkEnd w:id="163"/>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21"/>
          <w:szCs w:val="21"/>
          <w:u w:val="single" w:color="auto"/>
          <w:color w:val="auto"/>
        </w:rPr>
        <w:t>Section 7.09</w:t>
      </w:r>
      <w:r>
        <w:rPr>
          <w:rFonts w:ascii="Times New Roman" w:cs="Times New Roman" w:eastAsia="Times New Roman" w:hAnsi="Times New Roman"/>
          <w:sz w:val="21"/>
          <w:szCs w:val="21"/>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the foregoing shall restrict any party’s rights to seek any post-judgment relief regarding, or any appeal from, a final trial court judgment.</w:t>
      </w:r>
    </w:p>
    <w:p>
      <w:pPr>
        <w:spacing w:after="0" w:line="149" w:lineRule="exact"/>
        <w:rPr>
          <w:sz w:val="20"/>
          <w:szCs w:val="20"/>
          <w:color w:val="auto"/>
        </w:rPr>
      </w:pPr>
    </w:p>
    <w:p>
      <w:pPr>
        <w:jc w:val="both"/>
        <w:ind w:firstLine="1266"/>
        <w:spacing w:after="0" w:line="214" w:lineRule="auto"/>
        <w:rPr>
          <w:sz w:val="20"/>
          <w:szCs w:val="20"/>
          <w:color w:val="auto"/>
        </w:rPr>
      </w:pPr>
      <w:r>
        <w:rPr>
          <w:rFonts w:ascii="Times New Roman" w:cs="Times New Roman" w:eastAsia="Times New Roman" w:hAnsi="Times New Roman"/>
          <w:sz w:val="21"/>
          <w:szCs w:val="21"/>
          <w:color w:val="auto"/>
        </w:rPr>
        <w:t xml:space="preserve">Section 7.07 </w:t>
      </w:r>
      <w:r>
        <w:rPr>
          <w:rFonts w:ascii="Times New Roman" w:cs="Times New Roman" w:eastAsia="Times New Roman" w:hAnsi="Times New Roman"/>
          <w:sz w:val="21"/>
          <w:szCs w:val="21"/>
          <w:u w:val="single" w:color="auto"/>
          <w:color w:val="auto"/>
        </w:rPr>
        <w:t>Specific Enforcement</w:t>
      </w:r>
      <w:r>
        <w:rPr>
          <w:rFonts w:ascii="Times New Roman" w:cs="Times New Roman" w:eastAsia="Times New Roman" w:hAnsi="Times New Roman"/>
          <w:sz w:val="21"/>
          <w:szCs w:val="21"/>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seek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21"/>
          <w:szCs w:val="21"/>
          <w:u w:val="single" w:color="auto"/>
          <w:color w:val="auto"/>
        </w:rPr>
        <w:t>Section 7.06</w:t>
      </w:r>
      <w:r>
        <w:rPr>
          <w:rFonts w:ascii="Times New Roman" w:cs="Times New Roman" w:eastAsia="Times New Roman" w:hAnsi="Times New Roman"/>
          <w:sz w:val="21"/>
          <w:szCs w:val="21"/>
          <w:color w:val="auto"/>
        </w:rPr>
        <w:t xml:space="preserve"> without proof of damages or otherwise (in each case, subject to the terms and conditions of this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this being in addition to any other remedy to which they are entitled under this Agreement and (b) the right of specific enforcement is an integral part of the Transactions and without that right, neither the Company nor the Investors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21"/>
          <w:szCs w:val="21"/>
          <w:u w:val="single" w:color="auto"/>
          <w:color w:val="auto"/>
        </w:rPr>
        <w:t>Section 7.07</w:t>
      </w:r>
      <w:r>
        <w:rPr>
          <w:rFonts w:ascii="Times New Roman" w:cs="Times New Roman" w:eastAsia="Times New Roman" w:hAnsi="Times New Roman"/>
          <w:sz w:val="21"/>
          <w:szCs w:val="21"/>
          <w:color w:val="auto"/>
        </w:rPr>
        <w:t xml:space="preserve"> shall not be required to provide any bond or other security in connection with any such order or injunction.</w:t>
      </w:r>
    </w:p>
    <w:p>
      <w:pPr>
        <w:spacing w:after="0" w:line="155" w:lineRule="exact"/>
        <w:rPr>
          <w:sz w:val="20"/>
          <w:szCs w:val="20"/>
          <w:color w:val="auto"/>
        </w:rPr>
      </w:pPr>
    </w:p>
    <w:p>
      <w:pPr>
        <w:jc w:val="both"/>
        <w:ind w:firstLine="1266"/>
        <w:spacing w:after="0" w:line="215" w:lineRule="auto"/>
        <w:rPr>
          <w:sz w:val="20"/>
          <w:szCs w:val="20"/>
          <w:color w:val="auto"/>
        </w:rPr>
      </w:pPr>
      <w:r>
        <w:rPr>
          <w:rFonts w:ascii="Times New Roman" w:cs="Times New Roman" w:eastAsia="Times New Roman" w:hAnsi="Times New Roman"/>
          <w:sz w:val="21"/>
          <w:szCs w:val="21"/>
          <w:color w:val="auto"/>
        </w:rPr>
        <w:t xml:space="preserve">Section 7.08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7.08</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1266"/>
        <w:spacing w:after="0" w:line="231" w:lineRule="auto"/>
        <w:rPr>
          <w:sz w:val="20"/>
          <w:szCs w:val="20"/>
          <w:color w:val="auto"/>
        </w:rPr>
      </w:pPr>
      <w:r>
        <w:rPr>
          <w:rFonts w:ascii="Times New Roman" w:cs="Times New Roman" w:eastAsia="Times New Roman" w:hAnsi="Times New Roman"/>
          <w:sz w:val="21"/>
          <w:szCs w:val="21"/>
          <w:color w:val="auto"/>
        </w:rPr>
        <w:t xml:space="preserve">Section 7.09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and other communications to any party hereunder shall be in writing and shall be deemed given if delivered personally, emailed (which is confirmed) or sent by overnight courier (providing proof of delivery) to the parties at the following addresses:</w:t>
      </w:r>
    </w:p>
    <w:p>
      <w:pPr>
        <w:spacing w:after="0" w:line="147" w:lineRule="exact"/>
        <w:rPr>
          <w:sz w:val="20"/>
          <w:szCs w:val="20"/>
          <w:color w:val="auto"/>
        </w:rPr>
      </w:pPr>
    </w:p>
    <w:p>
      <w:pPr>
        <w:ind w:left="2540" w:right="6300" w:hanging="635"/>
        <w:spacing w:after="0" w:line="488" w:lineRule="auto"/>
        <w:tabs>
          <w:tab w:leader="none" w:pos="25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it at: Western Digital Corporation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65" w:right="339" w:bottom="1440" w:gutter="0" w:footer="0" w:header="0"/>
        </w:sectPr>
      </w:pPr>
    </w:p>
    <w:bookmarkStart w:id="164" w:name="page165"/>
    <w:bookmarkEnd w:id="164"/>
    <w:p>
      <w:pPr>
        <w:ind w:left="2540"/>
        <w:spacing w:after="0"/>
        <w:rPr>
          <w:sz w:val="20"/>
          <w:szCs w:val="20"/>
          <w:color w:val="auto"/>
        </w:rPr>
      </w:pPr>
      <w:r>
        <w:rPr>
          <w:rFonts w:ascii="Times New Roman" w:cs="Times New Roman" w:eastAsia="Times New Roman" w:hAnsi="Times New Roman"/>
          <w:sz w:val="21"/>
          <w:szCs w:val="21"/>
          <w:color w:val="auto"/>
        </w:rPr>
        <w:t>5601 Great Oaks Parkway</w:t>
      </w:r>
    </w:p>
    <w:p>
      <w:pPr>
        <w:ind w:left="2540"/>
        <w:spacing w:after="0" w:line="209" w:lineRule="auto"/>
        <w:rPr>
          <w:sz w:val="20"/>
          <w:szCs w:val="20"/>
          <w:color w:val="auto"/>
        </w:rPr>
      </w:pPr>
      <w:r>
        <w:rPr>
          <w:rFonts w:ascii="Times New Roman" w:cs="Times New Roman" w:eastAsia="Times New Roman" w:hAnsi="Times New Roman"/>
          <w:sz w:val="21"/>
          <w:szCs w:val="21"/>
          <w:color w:val="auto"/>
        </w:rPr>
        <w:t>San Jose, California</w:t>
      </w:r>
    </w:p>
    <w:p>
      <w:pPr>
        <w:ind w:left="2540"/>
        <w:spacing w:after="0" w:line="210" w:lineRule="auto"/>
        <w:rPr>
          <w:sz w:val="20"/>
          <w:szCs w:val="20"/>
          <w:color w:val="auto"/>
        </w:rPr>
      </w:pPr>
      <w:r>
        <w:rPr>
          <w:rFonts w:ascii="Times New Roman" w:cs="Times New Roman" w:eastAsia="Times New Roman" w:hAnsi="Times New Roman"/>
          <w:sz w:val="21"/>
          <w:szCs w:val="21"/>
          <w:color w:val="auto"/>
        </w:rPr>
        <w:t>Attention: Chief Legal Officer</w:t>
      </w:r>
    </w:p>
    <w:p>
      <w:pPr>
        <w:ind w:left="2540"/>
        <w:spacing w:after="0"/>
        <w:rPr>
          <w:sz w:val="20"/>
          <w:szCs w:val="20"/>
          <w:color w:val="auto"/>
        </w:rPr>
      </w:pPr>
      <w:r>
        <w:rPr>
          <w:rFonts w:ascii="Times New Roman" w:cs="Times New Roman" w:eastAsia="Times New Roman" w:hAnsi="Times New Roman"/>
          <w:sz w:val="21"/>
          <w:szCs w:val="21"/>
          <w:color w:val="auto"/>
        </w:rPr>
        <w:t>Email: Michael.Ray@wdc.com</w:t>
      </w:r>
    </w:p>
    <w:p>
      <w:pPr>
        <w:spacing w:after="0" w:line="18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17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Skadden, Arps, Slate, Meagher &amp; Flom LLP</w:t>
      </w:r>
    </w:p>
    <w:p>
      <w:pPr>
        <w:ind w:left="2540"/>
        <w:spacing w:after="0" w:line="209" w:lineRule="auto"/>
        <w:rPr>
          <w:sz w:val="20"/>
          <w:szCs w:val="20"/>
          <w:color w:val="auto"/>
        </w:rPr>
      </w:pPr>
      <w:r>
        <w:rPr>
          <w:rFonts w:ascii="Times New Roman" w:cs="Times New Roman" w:eastAsia="Times New Roman" w:hAnsi="Times New Roman"/>
          <w:sz w:val="21"/>
          <w:szCs w:val="21"/>
          <w:color w:val="auto"/>
        </w:rPr>
        <w:t>525 University Avenue</w:t>
      </w:r>
    </w:p>
    <w:p>
      <w:pPr>
        <w:ind w:left="2540"/>
        <w:spacing w:after="0" w:line="210" w:lineRule="auto"/>
        <w:rPr>
          <w:sz w:val="20"/>
          <w:szCs w:val="20"/>
          <w:color w:val="auto"/>
        </w:rPr>
      </w:pPr>
      <w:r>
        <w:rPr>
          <w:rFonts w:ascii="Times New Roman" w:cs="Times New Roman" w:eastAsia="Times New Roman" w:hAnsi="Times New Roman"/>
          <w:sz w:val="21"/>
          <w:szCs w:val="21"/>
          <w:color w:val="auto"/>
        </w:rPr>
        <w:t>Palo Alto, CA 94301</w:t>
      </w:r>
    </w:p>
    <w:p>
      <w:pPr>
        <w:ind w:left="2540"/>
        <w:spacing w:after="0" w:line="210" w:lineRule="auto"/>
        <w:rPr>
          <w:sz w:val="20"/>
          <w:szCs w:val="20"/>
          <w:color w:val="auto"/>
        </w:rPr>
      </w:pPr>
      <w:r>
        <w:rPr>
          <w:rFonts w:ascii="Times New Roman" w:cs="Times New Roman" w:eastAsia="Times New Roman" w:hAnsi="Times New Roman"/>
          <w:sz w:val="21"/>
          <w:szCs w:val="21"/>
          <w:color w:val="auto"/>
        </w:rPr>
        <w:t>Attention: Thomas J. Ivey</w:t>
      </w:r>
    </w:p>
    <w:p>
      <w:pPr>
        <w:ind w:left="2540"/>
        <w:spacing w:after="0"/>
        <w:rPr>
          <w:sz w:val="20"/>
          <w:szCs w:val="20"/>
          <w:color w:val="auto"/>
        </w:rPr>
      </w:pPr>
      <w:r>
        <w:rPr>
          <w:rFonts w:ascii="Times New Roman" w:cs="Times New Roman" w:eastAsia="Times New Roman" w:hAnsi="Times New Roman"/>
          <w:sz w:val="21"/>
          <w:szCs w:val="21"/>
          <w:color w:val="auto"/>
        </w:rPr>
        <w:t>Email: thomas.ivey@skadden.com</w:t>
      </w:r>
    </w:p>
    <w:p>
      <w:pPr>
        <w:spacing w:after="0" w:line="157" w:lineRule="exact"/>
        <w:rPr>
          <w:sz w:val="20"/>
          <w:szCs w:val="20"/>
          <w:color w:val="auto"/>
        </w:rPr>
      </w:pPr>
    </w:p>
    <w:p>
      <w:pPr>
        <w:ind w:left="2540" w:hanging="635"/>
        <w:spacing w:after="0"/>
        <w:tabs>
          <w:tab w:leader="none" w:pos="254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Investors or any Investor Party, to the Investors at:</w:t>
      </w:r>
    </w:p>
    <w:p>
      <w:pPr>
        <w:spacing w:after="0" w:line="174"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 Elliott Investment Management, L.P.</w:t>
      </w:r>
    </w:p>
    <w:p>
      <w:pPr>
        <w:ind w:left="2540" w:right="5800"/>
        <w:spacing w:after="0" w:line="20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360 S. Rosemary Ave.,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West Palm Beach, FL 33401 Attention: Jason Genrich Email: jgenrich@elliottmgmt.com</w:t>
      </w:r>
    </w:p>
    <w:p>
      <w:pPr>
        <w:spacing w:after="0" w:line="147" w:lineRule="exact"/>
        <w:rPr>
          <w:rFonts w:ascii="Times New Roman" w:cs="Times New Roman" w:eastAsia="Times New Roman" w:hAnsi="Times New Roman"/>
          <w:sz w:val="21"/>
          <w:szCs w:val="21"/>
          <w:color w:val="auto"/>
        </w:rPr>
      </w:pP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to (which will not constitute notice):</w:t>
      </w:r>
    </w:p>
    <w:p>
      <w:pPr>
        <w:spacing w:after="0" w:line="180" w:lineRule="exact"/>
        <w:rPr>
          <w:rFonts w:ascii="Times New Roman" w:cs="Times New Roman" w:eastAsia="Times New Roman" w:hAnsi="Times New Roman"/>
          <w:sz w:val="21"/>
          <w:szCs w:val="21"/>
          <w:color w:val="auto"/>
        </w:rPr>
      </w:pPr>
    </w:p>
    <w:p>
      <w:pPr>
        <w:ind w:left="2540" w:right="6080"/>
        <w:spacing w:after="0" w:line="22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Gibson, Dunn &amp; Crutcher LLP 200 Park Avenue</w:t>
      </w:r>
    </w:p>
    <w:p>
      <w:pPr>
        <w:spacing w:after="0" w:line="1" w:lineRule="exact"/>
        <w:rPr>
          <w:rFonts w:ascii="Times New Roman" w:cs="Times New Roman" w:eastAsia="Times New Roman" w:hAnsi="Times New Roman"/>
          <w:sz w:val="21"/>
          <w:szCs w:val="21"/>
          <w:color w:val="auto"/>
        </w:rPr>
      </w:pPr>
    </w:p>
    <w:p>
      <w:pPr>
        <w:ind w:left="2540"/>
        <w:spacing w:after="0" w:line="2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York, NY 10166</w:t>
      </w:r>
    </w:p>
    <w:p>
      <w:pPr>
        <w:ind w:left="2540"/>
        <w:spacing w:after="0" w:line="2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Attention: Richard J. Birns; Stewart L. McDowell</w:t>
      </w:r>
    </w:p>
    <w:p>
      <w:pPr>
        <w:ind w:left="25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rbirns@gibsondunn.com</w:t>
      </w:r>
      <w:r>
        <w:rPr>
          <w:rFonts w:ascii="Times New Roman" w:cs="Times New Roman" w:eastAsia="Times New Roman" w:hAnsi="Times New Roman"/>
          <w:sz w:val="21"/>
          <w:szCs w:val="21"/>
          <w:color w:val="auto"/>
        </w:rPr>
        <w:t>; smcdowell@gibsondunn.com</w:t>
      </w:r>
    </w:p>
    <w:p>
      <w:pPr>
        <w:spacing w:after="0" w:line="1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50"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49" w:lineRule="exact"/>
        <w:rPr>
          <w:sz w:val="20"/>
          <w:szCs w:val="20"/>
          <w:color w:val="auto"/>
        </w:rPr>
      </w:pPr>
    </w:p>
    <w:p>
      <w:pPr>
        <w:jc w:val="both"/>
        <w:ind w:firstLine="1266"/>
        <w:spacing w:after="0" w:line="220" w:lineRule="auto"/>
        <w:rPr>
          <w:sz w:val="20"/>
          <w:szCs w:val="20"/>
          <w:color w:val="auto"/>
        </w:rPr>
      </w:pPr>
      <w:r>
        <w:rPr>
          <w:rFonts w:ascii="Times New Roman" w:cs="Times New Roman" w:eastAsia="Times New Roman" w:hAnsi="Times New Roman"/>
          <w:sz w:val="21"/>
          <w:szCs w:val="21"/>
          <w:color w:val="auto"/>
        </w:rPr>
        <w:t xml:space="preserve">Section 7.11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Except as otherwise expressly provided herein or in any other Transaction Document, all costs and expenses, including fees and disbursements of counsel, financial advisors and accountants, incurred in connection with this Agreement and the Transactions and other transactions between the Company and the Investors or their Affiliates shall be paid by the party incurring such costs and expenses;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the Closing, the Company shall reimburse the Investors for expenses relating to the Transactions and other transactions between the Company and the Investors or their Affiliates (payable in cash or by offset against the Purchase Price) in an amount equal to $4,700,000.00.</w:t>
      </w:r>
    </w:p>
    <w:p>
      <w:pPr>
        <w:spacing w:after="0" w:line="149"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7.12</w:t>
      </w:r>
      <w:r>
        <w:rPr>
          <w:sz w:val="20"/>
          <w:szCs w:val="20"/>
          <w:color w:val="auto"/>
        </w:rPr>
        <w:tab/>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59" w:right="339" w:bottom="1440" w:gutter="0" w:footer="0" w:header="0"/>
        </w:sectPr>
      </w:pPr>
    </w:p>
    <w:bookmarkStart w:id="165" w:name="page166"/>
    <w:bookmarkEnd w:id="165"/>
    <w:p>
      <w:pPr>
        <w:jc w:val="both"/>
        <w:ind w:firstLine="1905"/>
        <w:spacing w:after="0" w:line="212" w:lineRule="auto"/>
        <w:tabs>
          <w:tab w:leader="none" w:pos="252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are used in this Agreement, they shall be deemed to be followed by the words “</w:t>
      </w:r>
      <w:r>
        <w:rPr>
          <w:rFonts w:ascii="Times New Roman" w:cs="Times New Roman" w:eastAsia="Times New Roman" w:hAnsi="Times New Roman"/>
          <w:sz w:val="21"/>
          <w:szCs w:val="21"/>
          <w:u w:val="single" w:color="auto"/>
          <w:color w:val="auto"/>
        </w:rPr>
        <w:t>without limitation</w:t>
      </w:r>
      <w:r>
        <w:rPr>
          <w:rFonts w:ascii="Times New Roman" w:cs="Times New Roman" w:eastAsia="Times New Roman" w:hAnsi="Times New Roman"/>
          <w:sz w:val="21"/>
          <w:szCs w:val="21"/>
          <w:color w:val="auto"/>
        </w:rPr>
        <w:t>”. Whenever the words “</w:t>
      </w:r>
      <w:r>
        <w:rPr>
          <w:rFonts w:ascii="Times New Roman" w:cs="Times New Roman" w:eastAsia="Times New Roman" w:hAnsi="Times New Roman"/>
          <w:sz w:val="21"/>
          <w:szCs w:val="21"/>
          <w:u w:val="single" w:color="auto"/>
          <w:color w:val="auto"/>
        </w:rPr>
        <w:t>ordinary course of business</w:t>
      </w:r>
      <w:r>
        <w:rPr>
          <w:rFonts w:ascii="Times New Roman" w:cs="Times New Roman" w:eastAsia="Times New Roman" w:hAnsi="Times New Roman"/>
          <w:sz w:val="21"/>
          <w:szCs w:val="21"/>
          <w:color w:val="auto"/>
        </w:rPr>
        <w:t>” are used in this Agreement, they shall be deemed to be followed by the words “</w:t>
      </w:r>
      <w:r>
        <w:rPr>
          <w:rFonts w:ascii="Times New Roman" w:cs="Times New Roman" w:eastAsia="Times New Roman" w:hAnsi="Times New Roman"/>
          <w:sz w:val="21"/>
          <w:szCs w:val="21"/>
          <w:u w:val="single" w:color="auto"/>
          <w:color w:val="auto"/>
        </w:rPr>
        <w:t>consistent with past practice</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this Agreement shall refer to this Agreement as a whole and not to any particular provision of this Agreement unless the context requires otherwise. The words “</w:t>
      </w:r>
      <w:r>
        <w:rPr>
          <w:rFonts w:ascii="Times New Roman" w:cs="Times New Roman" w:eastAsia="Times New Roman" w:hAnsi="Times New Roman"/>
          <w:sz w:val="21"/>
          <w:szCs w:val="21"/>
          <w:u w:val="single" w:color="auto"/>
          <w:color w:val="auto"/>
        </w:rPr>
        <w:t>date hereof</w:t>
      </w:r>
      <w:r>
        <w:rPr>
          <w:rFonts w:ascii="Times New Roman" w:cs="Times New Roman" w:eastAsia="Times New Roman" w:hAnsi="Times New Roman"/>
          <w:sz w:val="21"/>
          <w:szCs w:val="21"/>
          <w:color w:val="auto"/>
        </w:rPr>
        <w:t>” when used in this Agreement shall refer to the date of this Agreement. The terms “</w:t>
      </w:r>
      <w:r>
        <w:rPr>
          <w:rFonts w:ascii="Times New Roman" w:cs="Times New Roman" w:eastAsia="Times New Roman" w:hAnsi="Times New Roman"/>
          <w:sz w:val="21"/>
          <w:szCs w:val="21"/>
          <w:u w:val="single" w:color="auto"/>
          <w:color w:val="auto"/>
        </w:rPr>
        <w:t>or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any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either</w:t>
      </w:r>
      <w:r>
        <w:rPr>
          <w:rFonts w:ascii="Times New Roman" w:cs="Times New Roman" w:eastAsia="Times New Roman" w:hAnsi="Times New Roman"/>
          <w:sz w:val="21"/>
          <w:szCs w:val="21"/>
          <w:color w:val="auto"/>
        </w:rPr>
        <w:t>” are not exclusive. The word “</w:t>
      </w:r>
      <w:r>
        <w:rPr>
          <w:rFonts w:ascii="Times New Roman" w:cs="Times New Roman" w:eastAsia="Times New Roman" w:hAnsi="Times New Roman"/>
          <w:sz w:val="21"/>
          <w:szCs w:val="21"/>
          <w:u w:val="single" w:color="auto"/>
          <w:color w:val="auto"/>
        </w:rPr>
        <w:t>extent</w:t>
      </w:r>
      <w:r>
        <w:rPr>
          <w:rFonts w:ascii="Times New Roman" w:cs="Times New Roman" w:eastAsia="Times New Roman" w:hAnsi="Times New Roman"/>
          <w:sz w:val="21"/>
          <w:szCs w:val="21"/>
          <w:color w:val="auto"/>
        </w:rPr>
        <w:t>” in the phrase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the extent</w:t>
      </w:r>
      <w:r>
        <w:rPr>
          <w:rFonts w:ascii="Times New Roman" w:cs="Times New Roman" w:eastAsia="Times New Roman" w:hAnsi="Times New Roman"/>
          <w:sz w:val="21"/>
          <w:szCs w:val="21"/>
          <w:color w:val="auto"/>
        </w:rPr>
        <w:t>” shall mean the degree to which a subject or other thing extends, and such phrase shall not mean simply “</w:t>
      </w:r>
      <w:r>
        <w:rPr>
          <w:rFonts w:ascii="Times New Roman" w:cs="Times New Roman" w:eastAsia="Times New Roman" w:hAnsi="Times New Roman"/>
          <w:sz w:val="21"/>
          <w:szCs w:val="21"/>
          <w:u w:val="single" w:color="auto"/>
          <w:color w:val="auto"/>
        </w:rPr>
        <w:t>if</w:t>
      </w:r>
      <w:r>
        <w:rPr>
          <w:rFonts w:ascii="Times New Roman" w:cs="Times New Roman" w:eastAsia="Times New Roman" w:hAnsi="Times New Roman"/>
          <w:sz w:val="21"/>
          <w:szCs w:val="21"/>
          <w:color w:val="auto"/>
        </w:rPr>
        <w:t>”.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shall be constructed to have the same meaning and affect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made available to the Investors</w:t>
      </w:r>
      <w:r>
        <w:rPr>
          <w:rFonts w:ascii="Times New Roman" w:cs="Times New Roman" w:eastAsia="Times New Roman" w:hAnsi="Times New Roman"/>
          <w:sz w:val="21"/>
          <w:szCs w:val="21"/>
          <w:color w:val="auto"/>
        </w:rPr>
        <w:t>” and words of similar import refer to documents (A) posted to the Intralinks Datasite for Project Wales by or on behalf of the Company or (B) delivered in Person or electronically to the Investors or their respective Representatives, in each case no later than one (1) Business Day prior to the date hereof.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the NASDAQ, all references herein to NASDAQ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(unless, otherwise required by Law, if the last day of such period is not a Business Day, the period in question shall end on the next succeeding Business Day).</w:t>
      </w:r>
    </w:p>
    <w:p>
      <w:pPr>
        <w:spacing w:after="0" w:line="149" w:lineRule="exact"/>
        <w:rPr>
          <w:rFonts w:ascii="Times New Roman" w:cs="Times New Roman" w:eastAsia="Times New Roman" w:hAnsi="Times New Roman"/>
          <w:sz w:val="21"/>
          <w:szCs w:val="21"/>
          <w:color w:val="auto"/>
        </w:rPr>
      </w:pPr>
    </w:p>
    <w:p>
      <w:pPr>
        <w:jc w:val="both"/>
        <w:ind w:firstLine="1905"/>
        <w:spacing w:after="0" w:line="225" w:lineRule="auto"/>
        <w:tabs>
          <w:tab w:leader="none" w:pos="252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50" w:lineRule="exact"/>
        <w:rPr>
          <w:sz w:val="20"/>
          <w:szCs w:val="20"/>
          <w:color w:val="auto"/>
        </w:rPr>
      </w:pPr>
    </w:p>
    <w:p>
      <w:pPr>
        <w:jc w:val="both"/>
        <w:ind w:firstLine="1266"/>
        <w:spacing w:after="0" w:line="213" w:lineRule="auto"/>
        <w:rPr>
          <w:sz w:val="20"/>
          <w:szCs w:val="20"/>
          <w:color w:val="auto"/>
        </w:rPr>
      </w:pPr>
      <w:r>
        <w:rPr>
          <w:rFonts w:ascii="Times New Roman" w:cs="Times New Roman" w:eastAsia="Times New Roman" w:hAnsi="Times New Roman"/>
          <w:sz w:val="21"/>
          <w:szCs w:val="21"/>
          <w:color w:val="auto"/>
        </w:rPr>
        <w:t xml:space="preserve">Section 7.13 </w:t>
      </w:r>
      <w:r>
        <w:rPr>
          <w:rFonts w:ascii="Times New Roman" w:cs="Times New Roman" w:eastAsia="Times New Roman" w:hAnsi="Times New Roman"/>
          <w:sz w:val="21"/>
          <w:szCs w:val="21"/>
          <w:u w:val="single" w:color="auto"/>
          <w:color w:val="auto"/>
        </w:rPr>
        <w:t>Non-Recourse</w:t>
      </w:r>
      <w:r>
        <w:rPr>
          <w:rFonts w:ascii="Times New Roman" w:cs="Times New Roman" w:eastAsia="Times New Roman" w:hAnsi="Times New Roman"/>
          <w:sz w:val="21"/>
          <w:szCs w:val="21"/>
          <w:color w:val="auto"/>
        </w:rPr>
        <w:t>. Each party hereto agrees, on behalf of itself and its Affiliates and its and their present or former directors, officers, stockholders, partners, members or employees, that all Actions, claims, obligations, liabilities or causes of action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or any other Transaction Document, or any of the transactions contemplated hereunder or thereunder,</w:t>
      </w:r>
    </w:p>
    <w:p>
      <w:pPr>
        <w:spacing w:after="0" w:line="4" w:lineRule="exact"/>
        <w:rPr>
          <w:sz w:val="20"/>
          <w:szCs w:val="20"/>
          <w:color w:val="auto"/>
        </w:rPr>
      </w:pPr>
    </w:p>
    <w:p>
      <w:pPr>
        <w:ind w:firstLine="6"/>
        <w:spacing w:after="0" w:line="230" w:lineRule="auto"/>
        <w:tabs>
          <w:tab w:leader="none" w:pos="38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execution or performance of this Agreement or any of the other Transaction Documents (including any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65" w:right="339" w:bottom="1440" w:gutter="0" w:footer="0" w:header="0"/>
        </w:sectPr>
      </w:pPr>
    </w:p>
    <w:bookmarkStart w:id="166" w:name="page167"/>
    <w:bookmarkEnd w:id="166"/>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made in, in connection with, or as an inducement to, this Agreement or any of the other Transaction Documents), (C) any breach or violation of this Agreement or any other of the other Transaction Documents and (D) any failure of any of the transactions contemplated hereunder or under any of the other Transaction Documents or any other agreement referenced herein or therein to be consummated, in each case, may be made only against (and are those solely of) the Persons that are, in the case of this Agreement, expressly identified as parties to this Agreement or, in the case of any of the other Transaction Documents, Persons that are expressly identified as parties to such other Transaction Documents and in accordance with, and subject to the terms and conditions of this Agreement or such other Transaction Documents, as applicable. In furtherance and not in limitation of the foregoing and notwithstanding anything contained in this Agreement or any of the other Transaction Documents to the contrary and without limiting the foregoing or any other agreement referenced herein or therein or otherwise to the contrary, each party hereto covenants, agrees and acknowledges on behalf of itself and its respective Affiliates and its and their present or former directors, officers, stockholders, partners, members or employees, that no recourse under this Agreement or any of the other Transaction Documents or in connection with any of the transactions contemplated hereunder or thereunder shall be sought or had against any other Person, including any Investor Related Party, and no other Person, including any Investor Related Party, shall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shall attach to, be imposed on or otherwise be incurred by any of the aforementioned, as such, arising under, out of, in connection with or related in any manner to the items in the immediately preceding clauses (A) through (D), in each case, except for claims that the Company or the Investor Parties, as applicable, may assert: (i) against any Person that is party to and solely pursuant to the terms and conditions of, </w:t>
      </w:r>
      <w:r>
        <w:rPr>
          <w:rFonts w:ascii="Times New Roman" w:cs="Times New Roman" w:eastAsia="Times New Roman" w:hAnsi="Times New Roman"/>
          <w:sz w:val="21"/>
          <w:szCs w:val="21"/>
          <w:u w:val="single" w:color="auto"/>
          <w:color w:val="auto"/>
        </w:rPr>
        <w:t>Section 5.04</w:t>
      </w:r>
      <w:r>
        <w:rPr>
          <w:rFonts w:ascii="Times New Roman" w:cs="Times New Roman" w:eastAsia="Times New Roman" w:hAnsi="Times New Roman"/>
          <w:sz w:val="21"/>
          <w:szCs w:val="21"/>
          <w:color w:val="auto"/>
        </w:rPr>
        <w:t xml:space="preserve"> or (ii) against the Investor Parties solely in accordance with, and pursuant to the terms and conditions of, this Agreement. Notwithstanding anything to the contrary in this Agreement or any of the other Transaction Documents or otherwise, no party hereto or any Investor Related Party shall be responsible or liable for any multiple, consequential, indirect, special, statutory, exemplary or punitive damages or lost profits, opportunity costs, loss of business reputation, diminution in value or damages based upon a multiple of earnings or similar financial measure which may be alleged as a result of this Agreement or any of the other Transaction Documents or any of the transactions contemplated hereunder or thereunder, or the termination or abandonment of any of the foregoing.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65" w:right="339" w:bottom="1440" w:gutter="0" w:footer="0" w:header="0"/>
        </w:sectPr>
      </w:pPr>
    </w:p>
    <w:bookmarkStart w:id="167" w:name="page168"/>
    <w:bookmarkEnd w:id="167"/>
    <w:p>
      <w:pPr>
        <w:ind w:firstLine="1266"/>
        <w:spacing w:after="0" w:line="244"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WESTERN DIGITAL CORPORATION</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By: /s/ Wissam Jabre</w:t>
      </w:r>
    </w:p>
    <w:p>
      <w:pPr>
        <w:spacing w:after="0" w:line="3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Name: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-151765</wp:posOffset>
            </wp:positionV>
            <wp:extent cx="21437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1"/>
          <w:szCs w:val="21"/>
          <w:color w:val="auto"/>
        </w:rPr>
        <w:t>Title: Executive Vice President and</w:t>
      </w:r>
    </w:p>
    <w:p>
      <w:pPr>
        <w:ind w:left="512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3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ELLIOTT ASSOCIATES, L.P.</w:t>
      </w:r>
    </w:p>
    <w:p>
      <w:pPr>
        <w:spacing w:after="0" w:line="1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Elliott Investment Management L.P.,</w:t>
      </w:r>
    </w:p>
    <w:p>
      <w:pPr>
        <w:ind w:left="4780"/>
        <w:spacing w:after="0"/>
        <w:rPr>
          <w:sz w:val="20"/>
          <w:szCs w:val="20"/>
          <w:color w:val="auto"/>
        </w:rPr>
      </w:pPr>
      <w:r>
        <w:rPr>
          <w:rFonts w:ascii="Times New Roman" w:cs="Times New Roman" w:eastAsia="Times New Roman" w:hAnsi="Times New Roman"/>
          <w:sz w:val="21"/>
          <w:szCs w:val="21"/>
          <w:color w:val="auto"/>
        </w:rPr>
        <w:t>By: as Attorney-in-Fact</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By: /s/ Elliot Greenberg</w:t>
      </w:r>
    </w:p>
    <w:p>
      <w:pPr>
        <w:spacing w:after="0" w:line="3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Name: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-151765</wp:posOffset>
            </wp:positionV>
            <wp:extent cx="21355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3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ELLIOTT INTERNATIONAL, L.P.</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By: Hambledon, Inc., its General Partner</w:t>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Elliott Investment Management L.P., as</w:t>
      </w:r>
    </w:p>
    <w:p>
      <w:pPr>
        <w:ind w:left="4780"/>
        <w:spacing w:after="0"/>
        <w:rPr>
          <w:sz w:val="20"/>
          <w:szCs w:val="20"/>
          <w:color w:val="auto"/>
        </w:rPr>
      </w:pPr>
      <w:r>
        <w:rPr>
          <w:rFonts w:ascii="Times New Roman" w:cs="Times New Roman" w:eastAsia="Times New Roman" w:hAnsi="Times New Roman"/>
          <w:sz w:val="21"/>
          <w:szCs w:val="21"/>
          <w:color w:val="auto"/>
        </w:rPr>
        <w:t>By: Attorney-in-Fact</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By: /s/ Elliot Greenberg</w:t>
      </w:r>
    </w:p>
    <w:p>
      <w:pPr>
        <w:spacing w:after="0" w:line="3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Name: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-151765</wp:posOffset>
            </wp:positionV>
            <wp:extent cx="2143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10280"/>
          </w:cols>
          <w:pgMar w:left="320" w:top="1365" w:right="1299" w:bottom="1440" w:gutter="0" w:footer="0" w:header="0"/>
        </w:sectPr>
      </w:pPr>
    </w:p>
    <w:bookmarkStart w:id="168" w:name="page169"/>
    <w:bookmarkEnd w:id="168"/>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Annex I</w:t>
      </w:r>
    </w:p>
    <w:p>
      <w:pPr>
        <w:spacing w:after="0" w:line="20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The definition of “</w:t>
      </w:r>
      <w:r>
        <w:rPr>
          <w:rFonts w:ascii="Times New Roman" w:cs="Times New Roman" w:eastAsia="Times New Roman" w:hAnsi="Times New Roman"/>
          <w:sz w:val="21"/>
          <w:szCs w:val="21"/>
          <w:b w:val="1"/>
          <w:bCs w:val="1"/>
          <w:color w:val="auto"/>
        </w:rPr>
        <w:t>Spin-Co FMV</w:t>
      </w:r>
      <w:r>
        <w:rPr>
          <w:rFonts w:ascii="Times New Roman" w:cs="Times New Roman" w:eastAsia="Times New Roman" w:hAnsi="Times New Roman"/>
          <w:sz w:val="21"/>
          <w:szCs w:val="21"/>
          <w:color w:val="auto"/>
        </w:rPr>
        <w:t>” to be set forth in the Certificate of Designations with respect to the SpinCo Preferred Stock shall be amended as follows:</w:t>
      </w:r>
    </w:p>
    <w:p>
      <w:pPr>
        <w:spacing w:after="0" w:line="160"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“Spin-Co FMV” </w:t>
      </w:r>
      <w:r>
        <w:rPr>
          <w:rFonts w:ascii="Times New Roman" w:cs="Times New Roman" w:eastAsia="Times New Roman" w:hAnsi="Times New Roman"/>
          <w:sz w:val="21"/>
          <w:szCs w:val="21"/>
          <w:color w:val="auto"/>
        </w:rPr>
        <w:t>means the average of the Daily VWAP of a Spin-Off Transaction Share over the twenty (20) consecutive Trading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Days immediately following but including the Spin-Off Ex-Dividend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ratio of Spin-Off Transaction Shares to Common Stock (the </w:t>
      </w:r>
      <w:r>
        <w:rPr>
          <w:rFonts w:ascii="Times New Roman" w:cs="Times New Roman" w:eastAsia="Times New Roman" w:hAnsi="Times New Roman"/>
          <w:sz w:val="21"/>
          <w:szCs w:val="21"/>
          <w:b w:val="1"/>
          <w:bCs w:val="1"/>
          <w:color w:val="auto"/>
        </w:rPr>
        <w:t>“Spin-Off Ratio”</w:t>
      </w:r>
      <w:r>
        <w:rPr>
          <w:rFonts w:ascii="Times New Roman" w:cs="Times New Roman" w:eastAsia="Times New Roman" w:hAnsi="Times New Roman"/>
          <w:sz w:val="21"/>
          <w:szCs w:val="21"/>
          <w:color w:val="auto"/>
        </w:rPr>
        <w:t xml:space="preserve">) is not 1:1 in connection with a Specified Spin-Off Transaction </w:t>
      </w:r>
      <w:r>
        <w:rPr>
          <w:rFonts w:ascii="Times New Roman" w:cs="Times New Roman" w:eastAsia="Times New Roman" w:hAnsi="Times New Roman"/>
          <w:sz w:val="21"/>
          <w:szCs w:val="21"/>
          <w:u w:val="single" w:color="auto"/>
          <w:color w:val="auto"/>
        </w:rPr>
        <w:t>or a Standalone 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Spin-Off Transaction</w:t>
      </w:r>
      <w:r>
        <w:rPr>
          <w:rFonts w:ascii="Times New Roman" w:cs="Times New Roman" w:eastAsia="Times New Roman" w:hAnsi="Times New Roman"/>
          <w:sz w:val="21"/>
          <w:szCs w:val="21"/>
          <w:color w:val="auto"/>
        </w:rPr>
        <w:t xml:space="preserve">, then the Spin-Co FMV used to calculate the Spin-Off Transaction Adjustment Ratio </w:t>
      </w:r>
      <w:r>
        <w:rPr>
          <w:rFonts w:ascii="Times New Roman" w:cs="Times New Roman" w:eastAsia="Times New Roman" w:hAnsi="Times New Roman"/>
          <w:sz w:val="21"/>
          <w:szCs w:val="21"/>
          <w:u w:val="single" w:color="auto"/>
          <w:color w:val="auto"/>
        </w:rPr>
        <w:t>or the Spin-Co Spin-Off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 Adjustment Ratio, as applicable,</w:t>
      </w:r>
      <w:r>
        <w:rPr>
          <w:rFonts w:ascii="Times New Roman" w:cs="Times New Roman" w:eastAsia="Times New Roman" w:hAnsi="Times New Roman"/>
          <w:sz w:val="21"/>
          <w:szCs w:val="21"/>
          <w:color w:val="auto"/>
        </w:rPr>
        <w:t xml:space="preserve"> will be multiplied by the Spin-Off Ratio.</w:t>
      </w:r>
    </w:p>
    <w:p>
      <w:pPr>
        <w:sectPr>
          <w:pgSz w:w="11900" w:h="16838" w:orient="portrait"/>
          <w:cols w:equalWidth="0" w:num="1">
            <w:col w:w="11180"/>
          </w:cols>
          <w:pgMar w:left="320" w:top="1361" w:right="3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96" w:lineRule="exact"/>
        <w:rPr>
          <w:sz w:val="20"/>
          <w:szCs w:val="20"/>
          <w:color w:val="auto"/>
        </w:rPr>
      </w:pPr>
    </w:p>
    <w:p>
      <w:pPr>
        <w:ind w:left="500" w:hanging="178"/>
        <w:spacing w:after="0"/>
        <w:tabs>
          <w:tab w:leader="none" w:pos="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83" w:lineRule="exact"/>
        <w:rPr>
          <w:rFonts w:ascii="Times New Roman" w:cs="Times New Roman" w:eastAsia="Times New Roman" w:hAnsi="Times New Roman"/>
          <w:sz w:val="18"/>
          <w:szCs w:val="18"/>
          <w:color w:val="auto"/>
        </w:rPr>
      </w:pPr>
    </w:p>
    <w:p>
      <w:pPr>
        <w:jc w:val="both"/>
        <w:ind w:right="520" w:firstLine="322"/>
        <w:spacing w:after="0" w:line="333" w:lineRule="auto"/>
        <w:tabs>
          <w:tab w:leader="none" w:pos="492"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6"/>
          <w:szCs w:val="16"/>
          <w:color w:val="auto"/>
        </w:rPr>
      </w:pPr>
    </w:p>
    <w:p>
      <w:pPr>
        <w:ind w:right="480" w:firstLine="322"/>
        <w:spacing w:after="0" w:line="269" w:lineRule="auto"/>
        <w:tabs>
          <w:tab w:leader="none" w:pos="4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right="220" w:firstLine="322"/>
        <w:spacing w:after="0" w:line="257" w:lineRule="auto"/>
        <w:tabs>
          <w:tab w:leader="none" w:pos="4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8"/>
          <w:szCs w:val="18"/>
          <w:color w:val="auto"/>
        </w:rPr>
      </w:pPr>
    </w:p>
    <w:p>
      <w:pPr>
        <w:ind w:right="460" w:firstLine="639"/>
        <w:spacing w:after="0" w:line="257" w:lineRule="auto"/>
        <w:tabs>
          <w:tab w:leader="none" w:pos="7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ind w:right="120" w:firstLine="639"/>
        <w:spacing w:after="0" w:line="257" w:lineRule="auto"/>
        <w:tabs>
          <w:tab w:leader="none" w:pos="80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firstLine="639"/>
        <w:spacing w:after="0" w:line="269" w:lineRule="auto"/>
        <w:tabs>
          <w:tab w:leader="none" w:pos="7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right="20" w:firstLine="639"/>
        <w:spacing w:after="0" w:line="257" w:lineRule="auto"/>
        <w:tabs>
          <w:tab w:leader="none" w:pos="80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right="220" w:firstLine="322"/>
        <w:spacing w:after="0" w:line="269" w:lineRule="auto"/>
        <w:tabs>
          <w:tab w:leader="none" w:pos="4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right="360" w:firstLine="639"/>
        <w:spacing w:after="0" w:line="269" w:lineRule="auto"/>
        <w:tabs>
          <w:tab w:leader="none" w:pos="7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right="320" w:firstLine="639"/>
        <w:spacing w:after="0" w:line="269" w:lineRule="auto"/>
        <w:tabs>
          <w:tab w:leader="none" w:pos="80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13970</wp:posOffset>
            </wp:positionV>
            <wp:extent cx="30486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2023</w:t>
      </w:r>
    </w:p>
    <w:p>
      <w:pPr>
        <w:sectPr>
          <w:pgSz w:w="11900" w:h="16838" w:orient="portrait"/>
          <w:cols w:equalWidth="0" w:num="1">
            <w:col w:w="11240"/>
          </w:cols>
          <w:pgMar w:left="320" w:top="871"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Wissam Jabre, certify that:</w:t>
      </w:r>
    </w:p>
    <w:p>
      <w:pPr>
        <w:spacing w:after="0" w:line="96" w:lineRule="exact"/>
        <w:rPr>
          <w:sz w:val="20"/>
          <w:szCs w:val="20"/>
          <w:color w:val="auto"/>
        </w:rPr>
      </w:pPr>
    </w:p>
    <w:p>
      <w:pPr>
        <w:ind w:left="500" w:hanging="178"/>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83" w:lineRule="exact"/>
        <w:rPr>
          <w:rFonts w:ascii="Times New Roman" w:cs="Times New Roman" w:eastAsia="Times New Roman" w:hAnsi="Times New Roman"/>
          <w:sz w:val="18"/>
          <w:szCs w:val="18"/>
          <w:color w:val="auto"/>
        </w:rPr>
      </w:pPr>
    </w:p>
    <w:p>
      <w:pPr>
        <w:jc w:val="both"/>
        <w:ind w:right="520" w:firstLine="322"/>
        <w:spacing w:after="0" w:line="333" w:lineRule="auto"/>
        <w:tabs>
          <w:tab w:leader="none" w:pos="49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 w:lineRule="exact"/>
        <w:rPr>
          <w:rFonts w:ascii="Times New Roman" w:cs="Times New Roman" w:eastAsia="Times New Roman" w:hAnsi="Times New Roman"/>
          <w:sz w:val="16"/>
          <w:szCs w:val="16"/>
          <w:color w:val="auto"/>
        </w:rPr>
      </w:pPr>
    </w:p>
    <w:p>
      <w:pPr>
        <w:ind w:right="480" w:firstLine="322"/>
        <w:spacing w:after="0" w:line="269" w:lineRule="auto"/>
        <w:tabs>
          <w:tab w:leader="none" w:pos="4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right="220" w:firstLine="322"/>
        <w:spacing w:after="0" w:line="257" w:lineRule="auto"/>
        <w:tabs>
          <w:tab w:leader="none" w:pos="4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8"/>
          <w:szCs w:val="18"/>
          <w:color w:val="auto"/>
        </w:rPr>
      </w:pPr>
    </w:p>
    <w:p>
      <w:pPr>
        <w:ind w:right="460" w:firstLine="639"/>
        <w:spacing w:after="0" w:line="257" w:lineRule="auto"/>
        <w:tabs>
          <w:tab w:leader="none" w:pos="7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ind w:right="120" w:firstLine="639"/>
        <w:spacing w:after="0" w:line="257" w:lineRule="auto"/>
        <w:tabs>
          <w:tab w:leader="none" w:pos="80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firstLine="639"/>
        <w:spacing w:after="0" w:line="269" w:lineRule="auto"/>
        <w:tabs>
          <w:tab w:leader="none" w:pos="7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right="20" w:firstLine="639"/>
        <w:spacing w:after="0" w:line="257" w:lineRule="auto"/>
        <w:tabs>
          <w:tab w:leader="none" w:pos="80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right="220" w:firstLine="322"/>
        <w:spacing w:after="0" w:line="269" w:lineRule="auto"/>
        <w:tabs>
          <w:tab w:leader="none" w:pos="4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right="360" w:firstLine="639"/>
        <w:spacing w:after="0" w:line="269" w:lineRule="auto"/>
        <w:tabs>
          <w:tab w:leader="none" w:pos="7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right="320" w:firstLine="639"/>
        <w:spacing w:after="0" w:line="269" w:lineRule="auto"/>
        <w:tabs>
          <w:tab w:leader="none" w:pos="80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13970</wp:posOffset>
            </wp:positionV>
            <wp:extent cx="3132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Wissam Jabre</w:t>
      </w:r>
    </w:p>
    <w:p>
      <w:pPr>
        <w:spacing w:after="0" w:line="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2023</w:t>
      </w:r>
    </w:p>
    <w:p>
      <w:pPr>
        <w:sectPr>
          <w:pgSz w:w="11900" w:h="16838" w:orient="portrait"/>
          <w:cols w:equalWidth="0" w:num="1">
            <w:col w:w="11240"/>
          </w:cols>
          <w:pgMar w:left="320" w:top="871" w:right="339" w:bottom="1440" w:gutter="0" w:footer="0" w:header="0"/>
        </w:sectPr>
      </w:pPr>
    </w:p>
    <w:bookmarkStart w:id="171" w:name="page172"/>
    <w:bookmarkEnd w:id="171"/>
    <w:p>
      <w:pPr>
        <w:ind w:left="1034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7" w:lineRule="exact"/>
        <w:rPr>
          <w:sz w:val="20"/>
          <w:szCs w:val="20"/>
          <w:color w:val="auto"/>
        </w:rPr>
      </w:pPr>
    </w:p>
    <w:p>
      <w:pPr>
        <w:jc w:val="both"/>
        <w:ind w:right="60" w:firstLine="316"/>
        <w:spacing w:after="0" w:line="294" w:lineRule="auto"/>
        <w:rPr>
          <w:sz w:val="20"/>
          <w:szCs w:val="20"/>
          <w:color w:val="auto"/>
        </w:rPr>
      </w:pPr>
      <w:r>
        <w:rPr>
          <w:rFonts w:ascii="Times New Roman" w:cs="Times New Roman" w:eastAsia="Times New Roman" w:hAnsi="Times New Roman"/>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9" w:lineRule="exact"/>
        <w:rPr>
          <w:sz w:val="20"/>
          <w:szCs w:val="20"/>
          <w:color w:val="auto"/>
        </w:rPr>
      </w:pPr>
    </w:p>
    <w:p>
      <w:pPr>
        <w:ind w:right="600" w:firstLine="322"/>
        <w:spacing w:after="0" w:line="269" w:lineRule="auto"/>
        <w:tabs>
          <w:tab w:leader="none" w:pos="5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31, 2023 (the “Report”) fully complies with the requirements of Section 13(a) or Section 15(d), as applicable, of the Securities Exchange Act of 1934, as amended; and</w:t>
      </w:r>
    </w:p>
    <w:p>
      <w:pPr>
        <w:spacing w:after="0" w:line="37" w:lineRule="exact"/>
        <w:rPr>
          <w:rFonts w:ascii="Times New Roman" w:cs="Times New Roman" w:eastAsia="Times New Roman" w:hAnsi="Times New Roman"/>
          <w:sz w:val="18"/>
          <w:szCs w:val="18"/>
          <w:color w:val="auto"/>
        </w:rPr>
      </w:pPr>
    </w:p>
    <w:p>
      <w:pPr>
        <w:ind w:left="580" w:hanging="258"/>
        <w:spacing w:after="0"/>
        <w:tabs>
          <w:tab w:leader="none" w:pos="5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13970</wp:posOffset>
            </wp:positionV>
            <wp:extent cx="30486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048635" cy="8255"/>
                    </a:xfrm>
                    <a:prstGeom prst="rect">
                      <a:avLst/>
                    </a:prstGeom>
                    <a:noFill/>
                  </pic:spPr>
                </pic:pic>
              </a:graphicData>
            </a:graphic>
          </wp:anchor>
        </w:drawing>
      </w:r>
    </w:p>
    <w:p>
      <w:pPr>
        <w:spacing w:after="0" w:line="1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2023</w:t>
      </w:r>
    </w:p>
    <w:p>
      <w:pPr>
        <w:sectPr>
          <w:pgSz w:w="11900" w:h="16838" w:orient="portrait"/>
          <w:cols w:equalWidth="0" w:num="1">
            <w:col w:w="11240"/>
          </w:cols>
          <w:pgMar w:left="320" w:top="871" w:right="339" w:bottom="1440" w:gutter="0" w:footer="0" w:header="0"/>
        </w:sectPr>
      </w:pPr>
    </w:p>
    <w:bookmarkStart w:id="172" w:name="page173"/>
    <w:bookmarkEnd w:id="172"/>
    <w:p>
      <w:pPr>
        <w:ind w:left="1034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7" w:lineRule="exact"/>
        <w:rPr>
          <w:sz w:val="20"/>
          <w:szCs w:val="20"/>
          <w:color w:val="auto"/>
        </w:rPr>
      </w:pPr>
    </w:p>
    <w:p>
      <w:pPr>
        <w:jc w:val="both"/>
        <w:ind w:right="60" w:firstLine="316"/>
        <w:spacing w:after="0" w:line="294" w:lineRule="auto"/>
        <w:rPr>
          <w:sz w:val="20"/>
          <w:szCs w:val="20"/>
          <w:color w:val="auto"/>
        </w:rPr>
      </w:pPr>
      <w:r>
        <w:rPr>
          <w:rFonts w:ascii="Times New Roman" w:cs="Times New Roman" w:eastAsia="Times New Roman" w:hAnsi="Times New Roman"/>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9" w:lineRule="exact"/>
        <w:rPr>
          <w:sz w:val="20"/>
          <w:szCs w:val="20"/>
          <w:color w:val="auto"/>
        </w:rPr>
      </w:pPr>
    </w:p>
    <w:p>
      <w:pPr>
        <w:ind w:right="600" w:firstLine="322"/>
        <w:spacing w:after="0" w:line="269" w:lineRule="auto"/>
        <w:tabs>
          <w:tab w:leader="none" w:pos="52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31, 2023 (the “Report”) fully complies with the requirements of Section 13(a) or Section 15(d), as applicable, of the Securities Exchange Act of 1934, as amended; and</w:t>
      </w:r>
    </w:p>
    <w:p>
      <w:pPr>
        <w:spacing w:after="0" w:line="37" w:lineRule="exact"/>
        <w:rPr>
          <w:rFonts w:ascii="Times New Roman" w:cs="Times New Roman" w:eastAsia="Times New Roman" w:hAnsi="Times New Roman"/>
          <w:sz w:val="18"/>
          <w:szCs w:val="18"/>
          <w:color w:val="auto"/>
        </w:rPr>
      </w:pPr>
    </w:p>
    <w:p>
      <w:pPr>
        <w:ind w:left="580" w:hanging="258"/>
        <w:spacing w:after="0"/>
        <w:tabs>
          <w:tab w:leader="none" w:pos="5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Wissam Jabre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4031615</wp:posOffset>
            </wp:positionH>
            <wp:positionV relativeFrom="paragraph">
              <wp:posOffset>13970</wp:posOffset>
            </wp:positionV>
            <wp:extent cx="30905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3090545" cy="8255"/>
                    </a:xfrm>
                    <a:prstGeom prst="rect">
                      <a:avLst/>
                    </a:prstGeom>
                    <a:noFill/>
                  </pic:spPr>
                </pic:pic>
              </a:graphicData>
            </a:graphic>
          </wp:anchor>
        </w:drawing>
      </w:r>
    </w:p>
    <w:p>
      <w:pPr>
        <w:spacing w:after="0" w:line="1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Wissam Jabre</w:t>
      </w:r>
    </w:p>
    <w:p>
      <w:pPr>
        <w:spacing w:after="0" w:line="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jc w:val="cente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2023</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lowerRoman"/>
      <w:start w:val="2"/>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
      <w:numFmt w:val="bullet"/>
      <w:start w:val="1"/>
    </w:lvl>
    <w:lvl w:ilvl="1">
      <w:lvlJc w:val="left"/>
      <w:lvlText w:val="%2"/>
      <w:numFmt w:val="decimal"/>
      <w:start w:val="104"/>
    </w:lvl>
  </w:abstractNum>
  <w:abstractNum w:abstractNumId="9">
    <w:nsid w:val="310C50B3"/>
    <w:multiLevelType w:val="hybridMultilevel"/>
    <w:lvl w:ilvl="0">
      <w:lvlJc w:val="left"/>
      <w:lvlText w:val="(%1)"/>
      <w:numFmt w:val="lowerLetter"/>
      <w:start w:val="1"/>
    </w:lvl>
  </w:abstractNum>
  <w:abstractNum w:abstractNumId="10">
    <w:nsid w:val="5FF87E05"/>
    <w:multiLevelType w:val="hybridMultilevel"/>
    <w:lvl w:ilvl="0">
      <w:lvlJc w:val="left"/>
      <w:lvlText w:val="(%1)"/>
      <w:numFmt w:val="lowerLetter"/>
      <w:start w:val="1"/>
    </w:lvl>
    <w:lvl w:ilvl="1">
      <w:lvlJc w:val="left"/>
      <w:lvlText w:val="(%2)"/>
      <w:numFmt w:val="lowerRoman"/>
      <w:start w:val="1"/>
    </w:lvl>
  </w:abstractNum>
  <w:abstractNum w:abstractNumId="11">
    <w:nsid w:val="2F305DEF"/>
    <w:multiLevelType w:val="hybridMultilevel"/>
    <w:lvl w:ilvl="0">
      <w:lvlJc w:val="left"/>
      <w:lvlText w:val="(%1)"/>
      <w:numFmt w:val="lowerRoman"/>
      <w:start w:val="6"/>
    </w:lvl>
  </w:abstractNum>
  <w:abstractNum w:abstractNumId="12">
    <w:nsid w:val="25A70BF7"/>
    <w:multiLevelType w:val="hybridMultilevel"/>
    <w:lvl w:ilvl="0">
      <w:lvlJc w:val="left"/>
      <w:lvlText w:val="%1"/>
      <w:numFmt w:val="lowerLetter"/>
      <w:start w:val="1"/>
    </w:lvl>
    <w:lvl w:ilvl="1">
      <w:lvlJc w:val="left"/>
      <w:lvlText w:val="(%2)"/>
      <w:numFmt w:val="lowerRoman"/>
      <w:start w:val="15"/>
    </w:lvl>
  </w:abstractNum>
  <w:abstractNum w:abstractNumId="13">
    <w:nsid w:val="1DBABF00"/>
    <w:multiLevelType w:val="hybridMultilevel"/>
    <w:lvl w:ilvl="0">
      <w:lvlJc w:val="left"/>
      <w:lvlText w:val="(%1)"/>
      <w:numFmt w:val="lowerLetter"/>
      <w:start w:val="2"/>
    </w:lvl>
    <w:lvl w:ilvl="1">
      <w:lvlJc w:val="left"/>
      <w:lvlText w:val="(%2)"/>
      <w:numFmt w:val="lowerRoman"/>
      <w:start w:val="1"/>
    </w:lvl>
  </w:abstractNum>
  <w:abstractNum w:abstractNumId="14">
    <w:nsid w:val="4AD084E9"/>
    <w:multiLevelType w:val="hybridMultilevel"/>
    <w:lvl w:ilvl="0">
      <w:lvlJc w:val="left"/>
      <w:lvlText w:val="(%1)"/>
      <w:numFmt w:val="lowerLetter"/>
      <w:start w:val="7"/>
    </w:lvl>
  </w:abstractNum>
  <w:abstractNum w:abstractNumId="15">
    <w:nsid w:val="1F48EAA1"/>
    <w:multiLevelType w:val="hybridMultilevel"/>
    <w:lvl w:ilvl="0">
      <w:lvlJc w:val="left"/>
      <w:lvlText w:val="(%1)"/>
      <w:numFmt w:val="decimal"/>
      <w:start w:val="10"/>
    </w:lvl>
  </w:abstractNum>
  <w:abstractNum w:abstractNumId="16">
    <w:nsid w:val="1381823A"/>
    <w:multiLevelType w:val="hybridMultilevel"/>
    <w:lvl w:ilvl="0">
      <w:lvlJc w:val="left"/>
      <w:lvlText w:val="(%1)"/>
      <w:numFmt w:val="lowerLetter"/>
      <w:start w:val="2"/>
    </w:lvl>
  </w:abstractNum>
  <w:abstractNum w:abstractNumId="17">
    <w:nsid w:val="5DB70AE5"/>
    <w:multiLevelType w:val="hybridMultilevel"/>
    <w:lvl w:ilvl="0">
      <w:lvlJc w:val="left"/>
      <w:lvlText w:val="(%1)"/>
      <w:numFmt w:val="lowerLetter"/>
      <w:start w:val="2"/>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1)"/>
      <w:numFmt w:val="lowerRoman"/>
      <w:start w:val="1"/>
    </w:lvl>
    <w:lvl w:ilvl="1">
      <w:lvlJc w:val="left"/>
      <w:lvlText w:val="(%2)"/>
      <w:numFmt w:val="decimal"/>
      <w:start w:val="1"/>
    </w:lvl>
  </w:abstractNum>
  <w:abstractNum w:abstractNumId="21">
    <w:nsid w:val="5F5E7FD0"/>
    <w:multiLevelType w:val="hybridMultilevel"/>
    <w:lvl w:ilvl="0">
      <w:lvlJc w:val="left"/>
      <w:lvlText w:val="(%1)"/>
      <w:numFmt w:val="lowerLetter"/>
      <w:start w:val="1"/>
    </w:lvl>
  </w:abstractNum>
  <w:abstractNum w:abstractNumId="22">
    <w:nsid w:val="98A3148"/>
    <w:multiLevelType w:val="hybridMultilevel"/>
    <w:lvl w:ilvl="0">
      <w:lvlJc w:val="left"/>
      <w:lvlText w:val="(%1)"/>
      <w:numFmt w:val="lowerLetter"/>
      <w:start w:val="1"/>
    </w:lvl>
  </w:abstractNum>
  <w:abstractNum w:abstractNumId="23">
    <w:nsid w:val="799D0247"/>
    <w:multiLevelType w:val="hybridMultilevel"/>
    <w:lvl w:ilvl="0">
      <w:lvlJc w:val="left"/>
      <w:lvlText w:val="(%1)"/>
      <w:numFmt w:val="lowerLetter"/>
      <w:start w:val="4"/>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1"/>
    </w:lvl>
    <w:lvl w:ilvl="1">
      <w:lvlJc w:val="left"/>
      <w:lvlText w:val="(%2)"/>
      <w:numFmt w:val="lowerLetter"/>
      <w:start w:val="3"/>
    </w:lvl>
  </w:abstractNum>
  <w:abstractNum w:abstractNumId="27">
    <w:nsid w:val="1EBA5D23"/>
    <w:multiLevelType w:val="hybridMultilevel"/>
    <w:lvl w:ilvl="0">
      <w:lvlJc w:val="left"/>
      <w:lvlText w:val="(%1)"/>
      <w:numFmt w:val="lowerLetter"/>
      <w:start w:val="5"/>
    </w:lvl>
    <w:lvl w:ilvl="1">
      <w:lvlJc w:val="left"/>
      <w:lvlText w:val="%2"/>
      <w:numFmt w:val="lowerLetter"/>
      <w:start w:val="1"/>
    </w:lvl>
  </w:abstractNum>
  <w:abstractNum w:abstractNumId="28">
    <w:nsid w:val="661E3F1E"/>
    <w:multiLevelType w:val="hybridMultilevel"/>
    <w:lvl w:ilvl="0">
      <w:lvlJc w:val="left"/>
      <w:lvlText w:val="(%1)"/>
      <w:numFmt w:val="lowerLetter"/>
      <w:start w:val="1"/>
    </w:lvl>
  </w:abstractNum>
  <w:abstractNum w:abstractNumId="29">
    <w:nsid w:val="5DC79EA8"/>
    <w:multiLevelType w:val="hybridMultilevel"/>
    <w:lvl w:ilvl="0">
      <w:lvlJc w:val="left"/>
      <w:lvlText w:val="%1"/>
      <w:numFmt w:val="lowerRoman"/>
      <w:start w:val="1"/>
    </w:lvl>
    <w:lvl w:ilvl="1">
      <w:lvlJc w:val="left"/>
      <w:lvlText w:val="(%2)"/>
      <w:numFmt w:val="lowerLetter"/>
      <w:start w:val="2"/>
    </w:lvl>
  </w:abstractNum>
  <w:abstractNum w:abstractNumId="30">
    <w:nsid w:val="540A471C"/>
    <w:multiLevelType w:val="hybridMultilevel"/>
    <w:lvl w:ilvl="0">
      <w:lvlJc w:val="left"/>
      <w:lvlText w:val="(%1)"/>
      <w:numFmt w:val="lowerRoman"/>
      <w:start w:val="1"/>
    </w:lvl>
    <w:lvl w:ilvl="1">
      <w:lvlJc w:val="left"/>
      <w:lvlText w:val="(%2)"/>
      <w:numFmt w:val="lowerLetter"/>
      <w:start w:val="4"/>
    </w:lvl>
  </w:abstractNum>
  <w:abstractNum w:abstractNumId="31">
    <w:nsid w:val="7BD3EE7B"/>
    <w:multiLevelType w:val="hybridMultilevel"/>
    <w:lvl w:ilvl="0">
      <w:lvlJc w:val="left"/>
      <w:lvlText w:val="(%1)"/>
      <w:numFmt w:val="lowerLetter"/>
      <w:start w:val="3"/>
    </w:lvl>
  </w:abstractNum>
  <w:abstractNum w:abstractNumId="32">
    <w:nsid w:val="51D9C564"/>
    <w:multiLevelType w:val="hybridMultilevel"/>
    <w:lvl w:ilvl="0">
      <w:lvlJc w:val="left"/>
      <w:lvlText w:val="(%1)"/>
      <w:numFmt w:val="lowerLetter"/>
      <w:start w:val="1"/>
    </w:lvl>
  </w:abstractNum>
  <w:abstractNum w:abstractNumId="33">
    <w:nsid w:val="613EFDC5"/>
    <w:multiLevelType w:val="hybridMultilevel"/>
    <w:lvl w:ilvl="0">
      <w:lvlJc w:val="left"/>
      <w:lvlText w:val="(%1)"/>
      <w:numFmt w:val="lowerLetter"/>
      <w:start w:val="2"/>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2"/>
    </w:lvl>
  </w:abstractNum>
  <w:abstractNum w:abstractNumId="37">
    <w:nsid w:val="A0382C5"/>
    <w:multiLevelType w:val="hybridMultilevel"/>
    <w:lvl w:ilvl="0">
      <w:lvlJc w:val="left"/>
      <w:lvlText w:val="(%1)"/>
      <w:numFmt w:val="lowerLetter"/>
      <w:start w:val="1"/>
    </w:lvl>
    <w:lvl w:ilvl="1">
      <w:lvlJc w:val="left"/>
      <w:lvlText w:val="."/>
      <w:numFmt w:val="bullet"/>
      <w:start w:val="1"/>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Letter"/>
      <w:start w:val="3"/>
    </w:lvl>
  </w:abstractNum>
  <w:abstractNum w:abstractNumId="40">
    <w:nsid w:val="3B0FD379"/>
    <w:multiLevelType w:val="hybridMultilevel"/>
    <w:lvl w:ilvl="0">
      <w:lvlJc w:val="left"/>
      <w:lvlText w:val="(%1)"/>
      <w:numFmt w:val="lowerLetter"/>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4"/>
    </w:lvl>
  </w:abstractNum>
  <w:abstractNum w:abstractNumId="43">
    <w:nsid w:val="60B6DF70"/>
    <w:multiLevelType w:val="hybridMultilevel"/>
    <w:lvl w:ilvl="0">
      <w:lvlJc w:val="left"/>
      <w:lvlText w:val="(%1)"/>
      <w:numFmt w:val="lowerLetter"/>
      <w:start w:val="1"/>
    </w:lvl>
    <w:lvl w:ilvl="1">
      <w:lvlJc w:val="left"/>
      <w:lvlText w:val="(%2)"/>
      <w:numFmt w:val="lowerLetter"/>
      <w:start w:val="9"/>
    </w:lvl>
  </w:abstractNum>
  <w:abstractNum w:abstractNumId="44">
    <w:nsid w:val="6A5EE64"/>
    <w:multiLevelType w:val="hybridMultilevel"/>
    <w:lvl w:ilvl="0">
      <w:lvlJc w:val="left"/>
      <w:lvlText w:val="(%1)"/>
      <w:numFmt w:val="lowerRoman"/>
      <w:start w:val="2"/>
    </w:lvl>
  </w:abstractNum>
  <w:abstractNum w:abstractNumId="45">
    <w:nsid w:val="14330624"/>
    <w:multiLevelType w:val="hybridMultilevel"/>
    <w:lvl w:ilvl="0">
      <w:lvlJc w:val="left"/>
      <w:lvlText w:val="(%1)"/>
      <w:numFmt w:val="lowerLetter"/>
      <w:start w:val="2"/>
    </w:lvl>
  </w:abstractNum>
  <w:abstractNum w:abstractNumId="46">
    <w:nsid w:val="7FFFCA11"/>
    <w:multiLevelType w:val="hybridMultilevel"/>
    <w:lvl w:ilvl="0">
      <w:lvlJc w:val="left"/>
      <w:lvlText w:val="(%1)"/>
      <w:numFmt w:val="lowerLetter"/>
      <w:start w:val="6"/>
    </w:lvl>
  </w:abstractNum>
  <w:abstractNum w:abstractNumId="47">
    <w:nsid w:val="1A27709E"/>
    <w:multiLevelType w:val="hybridMultilevel"/>
    <w:lvl w:ilvl="0">
      <w:lvlJc w:val="left"/>
      <w:lvlText w:val="(%1)"/>
      <w:numFmt w:val="lowerLetter"/>
      <w:start w:val="8"/>
    </w:lvl>
  </w:abstractNum>
  <w:abstractNum w:abstractNumId="48">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100F59DC"/>
    <w:multiLevelType w:val="hybridMultilevel"/>
    <w:lvl w:ilvl="0">
      <w:lvlJc w:val="left"/>
      <w:lvlText w:val="(%1)"/>
      <w:numFmt w:val="decimal"/>
      <w:start w:val="9"/>
    </w:lvl>
    <w:lvl w:ilvl="1">
      <w:lvlJc w:val="left"/>
      <w:lvlText w:val="(%2)"/>
      <w:numFmt w:val="lowerLetter"/>
      <w:start w:val="2"/>
    </w:lvl>
    <w:lvl w:ilvl="2">
      <w:lvlJc w:val="left"/>
      <w:lvlText w:val="(%3)"/>
      <w:numFmt w:val="lowerRoman"/>
      <w:start w:val="1"/>
    </w:lvl>
  </w:abstractNum>
  <w:abstractNum w:abstractNumId="50">
    <w:nsid w:val="7FB7E0AA"/>
    <w:multiLevelType w:val="hybridMultilevel"/>
    <w:lvl w:ilvl="0">
      <w:lvlJc w:val="left"/>
      <w:lvlText w:val="(%1)"/>
      <w:numFmt w:val="lowerLetter"/>
      <w:start w:val="3"/>
    </w:lvl>
  </w:abstractNum>
  <w:abstractNum w:abstractNumId="51">
    <w:nsid w:val="6EB5BD4"/>
    <w:multiLevelType w:val="hybridMultilevel"/>
    <w:lvl w:ilvl="0">
      <w:lvlJc w:val="left"/>
      <w:lvlText w:val="(%1)"/>
      <w:numFmt w:val="lowerLetter"/>
      <w:start w:val="8"/>
    </w:lvl>
  </w:abstractNum>
  <w:abstractNum w:abstractNumId="52">
    <w:nsid w:val="6F6DD9AC"/>
    <w:multiLevelType w:val="hybridMultilevel"/>
    <w:lvl w:ilvl="0">
      <w:lvlJc w:val="left"/>
      <w:lvlText w:val="(%1)"/>
      <w:numFmt w:val="lowerLetter"/>
      <w:start w:val="10"/>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lowerLetter"/>
      <w:start w:val="3"/>
    </w:lvl>
  </w:abstractNum>
  <w:abstractNum w:abstractNumId="55">
    <w:nsid w:val="76272110"/>
    <w:multiLevelType w:val="hybridMultilevel"/>
    <w:lvl w:ilvl="0">
      <w:lvlJc w:val="left"/>
      <w:lvlText w:val="(%1)"/>
      <w:numFmt w:val="lowerLetter"/>
      <w:start w:val="1"/>
    </w:lvl>
    <w:lvl w:ilvl="1">
      <w:lvlJc w:val="left"/>
      <w:lvlText w:val="(%2)"/>
      <w:numFmt w:val="lowerLetter"/>
      <w:start w:val="9"/>
    </w:lvl>
  </w:abstractNum>
  <w:abstractNum w:abstractNumId="56">
    <w:nsid w:val="4C04A8AF"/>
    <w:multiLevelType w:val="hybridMultilevel"/>
    <w:lvl w:ilvl="0">
      <w:lvlJc w:val="left"/>
      <w:lvlText w:val="(%1)"/>
      <w:numFmt w:val="lowerRoman"/>
      <w:start w:val="2"/>
    </w:lvl>
  </w:abstractNum>
  <w:abstractNum w:abstractNumId="57">
    <w:nsid w:val="171670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8">
    <w:nsid w:val="14E17E3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59">
    <w:nsid w:val="3222E7CD"/>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35"/>
    </w:lvl>
  </w:abstractNum>
  <w:abstractNum w:abstractNumId="60">
    <w:nsid w:val="74DE0EE3"/>
    <w:multiLevelType w:val="hybridMultilevel"/>
    <w:lvl w:ilvl="0">
      <w:lvlJc w:val="left"/>
      <w:lvlText w:val="(%1)"/>
      <w:numFmt w:val="lowerLetter"/>
      <w:start w:val="3"/>
    </w:lvl>
  </w:abstractNum>
  <w:abstractNum w:abstractNumId="61">
    <w:nsid w:val="68EBC550"/>
    <w:multiLevelType w:val="hybridMultilevel"/>
    <w:lvl w:ilvl="0">
      <w:lvlJc w:val="left"/>
      <w:lvlText w:val="(%1)"/>
      <w:numFmt w:val="lowerLetter"/>
      <w:start w:val="7"/>
    </w:lvl>
    <w:lvl w:ilvl="1">
      <w:lvlJc w:val="left"/>
      <w:lvlText w:val="(%2)"/>
      <w:numFmt w:val="lowerRoman"/>
      <w:start w:val="1"/>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1"/>
    </w:lvl>
  </w:abstractNum>
  <w:abstractNum w:abstractNumId="64">
    <w:nsid w:val="4A2AC315"/>
    <w:multiLevelType w:val="hybridMultilevel"/>
    <w:lvl w:ilvl="0">
      <w:lvlJc w:val="left"/>
      <w:lvlText w:val="(%1)"/>
      <w:numFmt w:val="lowerLetter"/>
      <w:start w:val="5"/>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2"/>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2"/>
    </w:lvl>
  </w:abstractNum>
  <w:abstractNum w:abstractNumId="70">
    <w:nsid w:val="26F324BA"/>
    <w:multiLevelType w:val="hybridMultilevel"/>
    <w:lvl w:ilvl="0">
      <w:lvlJc w:val="left"/>
      <w:lvlText w:val="%1"/>
      <w:numFmt w:val="upperLetter"/>
      <w:start w:val="1"/>
    </w:lvl>
    <w:lvl w:ilvl="1">
      <w:lvlJc w:val="left"/>
      <w:lvlText w:val="(%2)"/>
      <w:numFmt w:val="lowerLetter"/>
      <w:start w:val="1"/>
    </w:lvl>
  </w:abstractNum>
  <w:abstractNum w:abstractNumId="71">
    <w:nsid w:val="7F01579B"/>
    <w:multiLevelType w:val="hybridMultilevel"/>
    <w:lvl w:ilvl="0">
      <w:lvlJc w:val="left"/>
      <w:lvlText w:val="(%1)"/>
      <w:numFmt w:val="upperLetter"/>
      <w:start w:val="2"/>
    </w:lvl>
    <w:lvl w:ilvl="1">
      <w:lvlJc w:val="left"/>
      <w:lvlText w:val="(%2)"/>
      <w:numFmt w:val="lowerLetter"/>
      <w:start w:val="2"/>
    </w:lvl>
  </w:abstractNum>
  <w:abstractNum w:abstractNumId="72">
    <w:nsid w:val="49DA307D"/>
    <w:multiLevelType w:val="hybridMultilevel"/>
    <w:lvl w:ilvl="0">
      <w:lvlJc w:val="left"/>
      <w:lvlText w:val="(%1)"/>
      <w:numFmt w:val="upperLetter"/>
      <w:start w:val="2"/>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75">
    <w:nsid w:val="50801EE1"/>
    <w:multiLevelType w:val="hybridMultilevel"/>
    <w:lvl w:ilvl="0">
      <w:lvlJc w:val="left"/>
      <w:lvlText w:val="(%1)"/>
      <w:numFmt w:val="lowerLetter"/>
      <w:start w:val="1"/>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lowerLetter"/>
      <w:start w:val="4"/>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lowerLetter"/>
      <w:start w:val="1"/>
    </w:lvl>
    <w:lvl w:ilvl="1">
      <w:lvlJc w:val="left"/>
      <w:lvlText w:val="(%2)"/>
      <w:numFmt w:val="lowerLetter"/>
      <w:start w:val="3"/>
    </w:lvl>
  </w:abstractNum>
  <w:abstractNum w:abstractNumId="81">
    <w:nsid w:val="6A5F7029"/>
    <w:multiLevelType w:val="hybridMultilevel"/>
    <w:lvl w:ilvl="0">
      <w:lvlJc w:val="left"/>
      <w:lvlText w:val="(%1)"/>
      <w:numFmt w:val="lowerLetter"/>
      <w:start w:val="5"/>
    </w:lvl>
    <w:lvl w:ilvl="1">
      <w:lvlJc w:val="left"/>
      <w:lvlText w:val="%2"/>
      <w:numFmt w:val="lowerLetter"/>
      <w:start w:val="1"/>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lowerRoman"/>
      <w:start w:val="1"/>
    </w:lvl>
    <w:lvl w:ilvl="1">
      <w:lvlJc w:val="left"/>
      <w:lvlText w:val="(%2)"/>
      <w:numFmt w:val="lowerLetter"/>
      <w:start w:val="2"/>
    </w:lvl>
  </w:abstractNum>
  <w:abstractNum w:abstractNumId="84">
    <w:nsid w:val="73A1821B"/>
    <w:multiLevelType w:val="hybridMultilevel"/>
    <w:lvl w:ilvl="0">
      <w:lvlJc w:val="left"/>
      <w:lvlText w:val="(%1)"/>
      <w:numFmt w:val="lowerRoman"/>
      <w:start w:val="1"/>
    </w:lvl>
    <w:lvl w:ilvl="1">
      <w:lvlJc w:val="left"/>
      <w:lvlText w:val="(%2)"/>
      <w:numFmt w:val="lowerLetter"/>
      <w:start w:val="4"/>
    </w:lvl>
  </w:abstractNum>
  <w:abstractNum w:abstractNumId="85">
    <w:nsid w:val="7DE67713"/>
    <w:multiLevelType w:val="hybridMultilevel"/>
    <w:lvl w:ilvl="0">
      <w:lvlJc w:val="left"/>
      <w:lvlText w:val="(%1)"/>
      <w:numFmt w:val="lowerLetter"/>
      <w:start w:val="3"/>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2"/>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2"/>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3"/>
    </w:lvl>
  </w:abstractNum>
  <w:abstractNum w:abstractNumId="93">
    <w:nsid w:val="1FBFE8E0"/>
    <w:multiLevelType w:val="hybridMultilevel"/>
    <w:lvl w:ilvl="0">
      <w:lvlJc w:val="left"/>
      <w:lvlText w:val="(%1)"/>
      <w:numFmt w:val="lowerLetter"/>
      <w:start w:val="1"/>
    </w:lvl>
    <w:lvl w:ilvl="1">
      <w:lvlJc w:val="left"/>
      <w:lvlText w:val="(%2)"/>
      <w:numFmt w:val="lowerRoman"/>
      <w:start w:val="1"/>
    </w:lvl>
  </w:abstractNum>
  <w:abstractNum w:abstractNumId="94">
    <w:nsid w:val="5092CA79"/>
    <w:multiLevelType w:val="hybridMultilevel"/>
    <w:lvl w:ilvl="0">
      <w:lvlJc w:val="left"/>
      <w:lvlText w:val="(%1)"/>
      <w:numFmt w:val="lowerLetter"/>
      <w:start w:val="2"/>
    </w:lvl>
  </w:abstractNum>
  <w:abstractNum w:abstractNumId="95">
    <w:nsid w:val="1D545C4D"/>
    <w:multiLevelType w:val="hybridMultilevel"/>
    <w:lvl w:ilvl="0">
      <w:lvlJc w:val="left"/>
      <w:lvlText w:val="(%1)"/>
      <w:numFmt w:val="lowerLetter"/>
      <w:start w:val="4"/>
    </w:lvl>
  </w:abstractNum>
  <w:abstractNum w:abstractNumId="96">
    <w:nsid w:val="59ADEA3D"/>
    <w:multiLevelType w:val="hybridMultilevel"/>
    <w:lvl w:ilvl="0">
      <w:lvlJc w:val="left"/>
      <w:lvlText w:val="(%1)"/>
      <w:numFmt w:val="lowerRoman"/>
      <w:start w:val="1"/>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3"/>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Letter"/>
      <w:start w:val="2"/>
    </w:lvl>
  </w:abstractNum>
  <w:abstractNum w:abstractNumId="101">
    <w:nsid w:val="51088277"/>
    <w:multiLevelType w:val="hybridMultilevel"/>
    <w:lvl w:ilvl="0">
      <w:lvlJc w:val="left"/>
      <w:lvlText w:val="(%1)"/>
      <w:numFmt w:val="lowerLetter"/>
      <w:start w:val="1"/>
    </w:lvl>
    <w:lvl w:ilvl="1">
      <w:lvlJc w:val="left"/>
      <w:lvlText w:val="(%2)"/>
      <w:numFmt w:val="lowerLetter"/>
      <w:start w:val="9"/>
    </w:lvl>
  </w:abstractNum>
  <w:abstractNum w:abstractNumId="102">
    <w:nsid w:val="1CA0C5FA"/>
    <w:multiLevelType w:val="hybridMultilevel"/>
    <w:lvl w:ilvl="0">
      <w:lvlJc w:val="left"/>
      <w:lvlText w:val="(%1)"/>
      <w:numFmt w:val="lowerRoman"/>
      <w:start w:val="2"/>
    </w:lvl>
  </w:abstractNum>
  <w:abstractNum w:abstractNumId="103">
    <w:nsid w:val="53584BCB"/>
    <w:multiLevelType w:val="hybridMultilevel"/>
    <w:lvl w:ilvl="0">
      <w:lvlJc w:val="left"/>
      <w:lvlText w:val="(%1)"/>
      <w:numFmt w:val="lowerLetter"/>
      <w:start w:val="1"/>
    </w:lvl>
    <w:lvl w:ilvl="1">
      <w:lvlJc w:val="left"/>
      <w:lvlText w:val="(%2)"/>
      <w:numFmt w:val="lowerRoman"/>
      <w:start w:val="1"/>
    </w:lvl>
  </w:abstractNum>
  <w:abstractNum w:abstractNumId="104">
    <w:nsid w:val="415E286C"/>
    <w:multiLevelType w:val="hybridMultilevel"/>
    <w:lvl w:ilvl="0">
      <w:lvlJc w:val="left"/>
      <w:lvlText w:val="(%1)"/>
      <w:numFmt w:val="lowerLetter"/>
      <w:start w:val="3"/>
    </w:lvl>
  </w:abstractNum>
  <w:abstractNum w:abstractNumId="105">
    <w:nsid w:val="7C58FD05"/>
    <w:multiLevelType w:val="hybridMultilevel"/>
    <w:lvl w:ilvl="0">
      <w:lvlJc w:val="left"/>
      <w:lvlText w:val="(%1)"/>
      <w:numFmt w:val="lowerLetter"/>
      <w:start w:val="7"/>
    </w:lvl>
    <w:lvl w:ilvl="1">
      <w:lvlJc w:val="left"/>
      <w:lvlText w:val="(%2)"/>
      <w:numFmt w:val="lowerRoman"/>
      <w:start w:val="1"/>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lowerLetter"/>
      <w:start w:val="2"/>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2"/>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upperLetter"/>
      <w:start w:val="2"/>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lowerRoman"/>
      <w:start w:val="1"/>
    </w:lvl>
  </w:abstractNum>
  <w:abstractNum w:abstractNumId="117">
    <w:nsid w:val="69E3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31" Type="http://schemas.openxmlformats.org/officeDocument/2006/relationships/hyperlink" Target="http://www.sec.gov/Archives/edgar/data/106040/000095013706001502/a17011exv3w1.htm" TargetMode="External"/><Relationship Id="rId132" Type="http://schemas.openxmlformats.org/officeDocument/2006/relationships/hyperlink" Target="https://www.sec.gov/Archives/edgar/data/106040/000119312521041457/d128208dex31.htm" TargetMode="External"/><Relationship Id="rId133" Type="http://schemas.openxmlformats.org/officeDocument/2006/relationships/hyperlink" Target="https://www.sec.gov/Archives/edgar/data/106040/000119312523020502/d425756dex103.htm" TargetMode="External"/><Relationship Id="rId134" Type="http://schemas.openxmlformats.org/officeDocument/2006/relationships/hyperlink" Target="https://www.sec.gov/Archives/edgar/data/106040/000119312523020502/d42575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2023-05-10T12:48:18Z</dcterms:created>
  <dcterms:modified xsi:type="dcterms:W3CDTF">2023-05-10T12:48:18Z</dcterms:modified>
</cp:coreProperties>
</file>