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29, 2024</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84"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167640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390525</wp:posOffset>
            </wp:positionV>
            <wp:extent cx="2966085" cy="98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ectPr>
          <w:pgSz w:w="11900" w:h="16838" w:orient="portrait"/>
          <w:cols w:equalWidth="0" w:num="1">
            <w:col w:w="11180"/>
          </w:cols>
          <w:pgMar w:left="320" w:top="1037" w:right="3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left="14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2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7" w:lineRule="exact"/>
        <w:rPr>
          <w:sz w:val="24"/>
          <w:szCs w:val="24"/>
          <w:color w:val="auto"/>
        </w:rPr>
      </w:pPr>
    </w:p>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33-0956711</w:t>
      </w:r>
    </w:p>
    <w:p>
      <w:pPr>
        <w:spacing w:after="0" w:line="163" w:lineRule="exact"/>
        <w:rPr>
          <w:sz w:val="24"/>
          <w:szCs w:val="24"/>
          <w:color w:val="auto"/>
        </w:rPr>
      </w:pPr>
    </w:p>
    <w:p>
      <w:pPr>
        <w:jc w:val="right"/>
        <w:ind w:right="154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40" w:space="720"/>
            <w:col w:w="6920"/>
          </w:cols>
          <w:pgMar w:left="320" w:top="1037" w:right="399" w:bottom="1440" w:gutter="0" w:footer="0" w:header="0"/>
          <w:type w:val="continuous"/>
        </w:sectPr>
      </w:pPr>
    </w:p>
    <w:p>
      <w:pPr>
        <w:ind w:left="800"/>
        <w:spacing w:after="0"/>
        <w:tabs>
          <w:tab w:leader="none" w:pos="2780" w:val="left"/>
          <w:tab w:leader="none" w:pos="3620" w:val="left"/>
          <w:tab w:leader="none" w:pos="8540" w:val="left"/>
        </w:tabs>
        <w:rPr>
          <w:sz w:val="20"/>
          <w:szCs w:val="20"/>
          <w:color w:val="auto"/>
        </w:rPr>
      </w:pPr>
      <w:r>
        <w:rPr>
          <w:rFonts w:ascii="Times New Roman" w:cs="Times New Roman" w:eastAsia="Times New Roman" w:hAnsi="Times New Roman"/>
          <w:sz w:val="14"/>
          <w:szCs w:val="14"/>
          <w:b w:val="1"/>
          <w:bCs w:val="1"/>
          <w:color w:val="auto"/>
        </w:rPr>
        <w:t>5601 Great Oaks Parkway</w:t>
      </w:r>
      <w:r>
        <w:rPr>
          <w:sz w:val="20"/>
          <w:szCs w:val="20"/>
          <w:color w:val="auto"/>
        </w:rPr>
        <w:tab/>
      </w:r>
      <w:r>
        <w:rPr>
          <w:rFonts w:ascii="Times New Roman" w:cs="Times New Roman" w:eastAsia="Times New Roman" w:hAnsi="Times New Roman"/>
          <w:sz w:val="14"/>
          <w:szCs w:val="14"/>
          <w:b w:val="1"/>
          <w:bCs w:val="1"/>
          <w:color w:val="auto"/>
        </w:rPr>
        <w:t>San Jose,</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4"/>
          <w:szCs w:val="14"/>
          <w:b w:val="1"/>
          <w:bCs w:val="1"/>
          <w:color w:val="auto"/>
        </w:rPr>
        <w:t>95119</w:t>
      </w:r>
    </w:p>
    <w:p>
      <w:pPr>
        <w:spacing w:after="0" w:line="46" w:lineRule="exact"/>
        <w:rPr>
          <w:sz w:val="24"/>
          <w:szCs w:val="24"/>
          <w:color w:val="auto"/>
        </w:rPr>
      </w:pPr>
    </w:p>
    <w:p>
      <w:pPr>
        <w:ind w:left="1500"/>
        <w:spacing w:after="0"/>
        <w:tabs>
          <w:tab w:leader="none" w:pos="844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3"/>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99"/>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Pr>
          <w:p>
            <w:pPr>
              <w:spacing w:after="0"/>
              <w:rPr>
                <w:sz w:val="17"/>
                <w:szCs w:val="17"/>
                <w:color w:val="auto"/>
              </w:rPr>
            </w:pPr>
          </w:p>
        </w:tc>
      </w:tr>
    </w:tbl>
    <w:p>
      <w:pPr>
        <w:spacing w:after="0" w:line="234"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2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type w:val="continuous"/>
        </w:sectPr>
      </w:pPr>
    </w:p>
    <w:bookmarkStart w:id="1" w:name="page2"/>
    <w:bookmarkEnd w:id="1"/>
    <w:p>
      <w:pPr>
        <w:ind w:firstLine="324"/>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1048" w:right="459" w:bottom="1440" w:gutter="0" w:footer="0" w:header="0"/>
        </w:sectPr>
      </w:pP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0"/>
          <w:szCs w:val="20"/>
          <w:color w:val="auto"/>
        </w:rPr>
      </w:pPr>
    </w:p>
    <w:p>
      <w:pPr>
        <w:sectPr>
          <w:pgSz w:w="11900" w:h="16838" w:orient="portrait"/>
          <w:cols w:equalWidth="0" w:num="5">
            <w:col w:w="2140" w:space="720"/>
            <w:col w:w="1400" w:space="720"/>
            <w:col w:w="1340" w:space="720"/>
            <w:col w:w="1580" w:space="680"/>
            <w:col w:w="1820"/>
          </w:cols>
          <w:pgMar w:left="320" w:top="1048" w:right="45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1100"/>
          </w:cols>
          <w:pgMar w:left="320" w:top="1048" w:right="459" w:bottom="1440" w:gutter="0" w:footer="0" w:header="0"/>
          <w:type w:val="continuous"/>
        </w:sectPr>
      </w:pPr>
    </w:p>
    <w:p>
      <w:pPr>
        <w:spacing w:after="0" w:line="106" w:lineRule="exact"/>
        <w:rPr>
          <w:sz w:val="20"/>
          <w:szCs w:val="20"/>
          <w:color w:val="auto"/>
        </w:rPr>
      </w:pPr>
    </w:p>
    <w:p>
      <w:pPr>
        <w:ind w:right="1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the close of business on April 22, 2024, 326,524,668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8"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8940" w:type="dxa"/>
            <w:vAlign w:val="bottom"/>
            <w:vMerge w:val="restart"/>
          </w:tcPr>
          <w:p>
            <w:pPr>
              <w:ind w:left="32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894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 As of March 29, 2024 and June 30, 2023</w:t>
            </w:r>
          </w:p>
        </w:tc>
        <w:tc>
          <w:tcPr>
            <w:tcW w:w="820" w:type="dxa"/>
            <w:vAlign w:val="bottom"/>
            <w:gridSpan w:val="2"/>
          </w:tcPr>
          <w:p>
            <w:pPr>
              <w:jc w:val="center"/>
              <w:ind w:left="530"/>
              <w:spacing w:after="0" w:line="189" w:lineRule="exact"/>
              <w:rPr>
                <w:sz w:val="20"/>
                <w:szCs w:val="20"/>
                <w:color w:val="auto"/>
              </w:rPr>
            </w:pPr>
            <w:r>
              <w:rPr>
                <w:rFonts w:ascii="Times New Roman" w:cs="Times New Roman" w:eastAsia="Times New Roman" w:hAnsi="Times New Roman"/>
                <w:sz w:val="18"/>
                <w:szCs w:val="18"/>
                <w:color w:val="3635D6"/>
                <w:w w:val="88"/>
              </w:rPr>
              <w:t>6</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shd w:val="clear" w:color="auto" w:fill="CCEEFF"/>
          </w:tcPr>
          <w:p>
            <w:pPr>
              <w:spacing w:after="0"/>
              <w:rPr>
                <w:sz w:val="15"/>
                <w:szCs w:val="15"/>
                <w:color w:val="auto"/>
              </w:rPr>
            </w:pPr>
          </w:p>
        </w:tc>
        <w:tc>
          <w:tcPr>
            <w:tcW w:w="894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 Three and Nine Months Ended March 29, 2024 and March 31,</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right w:val="single" w:sz="8" w:color="CCEEFF"/>
            </w:tcBorders>
            <w:gridSpan w:val="2"/>
            <w:shd w:val="clear" w:color="auto" w:fill="CCEEFF"/>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7</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 w:type="dxa"/>
            <w:vAlign w:val="bottom"/>
            <w:tcBorders>
              <w:top w:val="single" w:sz="8" w:color="CCEEFF"/>
            </w:tcBorders>
          </w:tcPr>
          <w:p>
            <w:pPr>
              <w:spacing w:after="0"/>
              <w:rPr>
                <w:sz w:val="15"/>
                <w:szCs w:val="15"/>
                <w:color w:val="auto"/>
              </w:rPr>
            </w:pPr>
          </w:p>
        </w:tc>
        <w:tc>
          <w:tcPr>
            <w:tcW w:w="8940" w:type="dxa"/>
            <w:vAlign w:val="bottom"/>
            <w:tcBorders>
              <w:top w:val="single" w:sz="8" w:color="CCEEFF"/>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Comprehensive Loss — Three and Nine Months Ended March 29, 2024 and</w:t>
            </w:r>
          </w:p>
        </w:tc>
        <w:tc>
          <w:tcPr>
            <w:tcW w:w="680" w:type="dxa"/>
            <w:vAlign w:val="bottom"/>
            <w:tcBorders>
              <w:top w:val="single" w:sz="8" w:color="CCEEFF"/>
            </w:tcBorders>
          </w:tcPr>
          <w:p>
            <w:pPr>
              <w:spacing w:after="0"/>
              <w:rPr>
                <w:sz w:val="15"/>
                <w:szCs w:val="15"/>
                <w:color w:val="auto"/>
              </w:rPr>
            </w:pPr>
          </w:p>
        </w:tc>
        <w:tc>
          <w:tcPr>
            <w:tcW w:w="140" w:type="dxa"/>
            <w:vAlign w:val="bottom"/>
            <w:tcBorders>
              <w:top w:val="single" w:sz="8" w:color="3635D6"/>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94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March 31, 2023</w:t>
            </w:r>
          </w:p>
        </w:tc>
        <w:tc>
          <w:tcPr>
            <w:tcW w:w="820" w:type="dxa"/>
            <w:vAlign w:val="bottom"/>
            <w:gridSpan w:val="2"/>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8</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shd w:val="clear" w:color="auto" w:fill="CCEEFF"/>
          </w:tcPr>
          <w:p>
            <w:pPr>
              <w:spacing w:after="0"/>
              <w:rPr>
                <w:sz w:val="18"/>
                <w:szCs w:val="18"/>
                <w:color w:val="auto"/>
              </w:rPr>
            </w:pPr>
          </w:p>
        </w:tc>
        <w:tc>
          <w:tcPr>
            <w:tcW w:w="8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 Nine Months Ended March 29, 2024 and March 31, 2023</w:t>
            </w:r>
          </w:p>
        </w:tc>
        <w:tc>
          <w:tcPr>
            <w:tcW w:w="820" w:type="dxa"/>
            <w:vAlign w:val="bottom"/>
            <w:tcBorders>
              <w:right w:val="single" w:sz="8" w:color="CCEEFF"/>
            </w:tcBorders>
            <w:gridSpan w:val="2"/>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3635D6"/>
                <w:w w:val="88"/>
              </w:rPr>
              <w:t>9</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Borders>
              <w:top w:val="single" w:sz="8" w:color="CCEEFF"/>
            </w:tcBorders>
          </w:tcPr>
          <w:p>
            <w:pPr>
              <w:spacing w:after="0"/>
              <w:rPr>
                <w:sz w:val="15"/>
                <w:szCs w:val="15"/>
                <w:color w:val="auto"/>
              </w:rPr>
            </w:pPr>
          </w:p>
        </w:tc>
        <w:tc>
          <w:tcPr>
            <w:tcW w:w="8940" w:type="dxa"/>
            <w:vAlign w:val="bottom"/>
            <w:tcBorders>
              <w:top w:val="single" w:sz="8" w:color="CCEEFF"/>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Convertible Preferred Stock and Shareholders' Equity — Nine Months</w:t>
            </w:r>
          </w:p>
        </w:tc>
        <w:tc>
          <w:tcPr>
            <w:tcW w:w="680" w:type="dxa"/>
            <w:vAlign w:val="bottom"/>
            <w:tcBorders>
              <w:top w:val="single" w:sz="8" w:color="CCEEFF"/>
            </w:tcBorders>
          </w:tcPr>
          <w:p>
            <w:pPr>
              <w:spacing w:after="0"/>
              <w:rPr>
                <w:sz w:val="15"/>
                <w:szCs w:val="15"/>
                <w:color w:val="auto"/>
              </w:rPr>
            </w:pPr>
          </w:p>
        </w:tc>
        <w:tc>
          <w:tcPr>
            <w:tcW w:w="140" w:type="dxa"/>
            <w:vAlign w:val="bottom"/>
            <w:tcBorders>
              <w:top w:val="single" w:sz="8" w:color="3635D6"/>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94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Ended March 29, 2024 and March 31, 2023</w:t>
            </w:r>
          </w:p>
        </w:tc>
        <w:tc>
          <w:tcPr>
            <w:tcW w:w="820" w:type="dxa"/>
            <w:vAlign w:val="bottom"/>
            <w:gridSpan w:val="2"/>
          </w:tcPr>
          <w:p>
            <w:pPr>
              <w:jc w:val="center"/>
              <w:ind w:left="550"/>
              <w:spacing w:after="0" w:line="202" w:lineRule="exact"/>
              <w:rPr>
                <w:sz w:val="20"/>
                <w:szCs w:val="20"/>
                <w:color w:val="auto"/>
              </w:rPr>
            </w:pPr>
            <w:r>
              <w:rPr>
                <w:rFonts w:ascii="Times New Roman" w:cs="Times New Roman" w:eastAsia="Times New Roman" w:hAnsi="Times New Roman"/>
                <w:sz w:val="18"/>
                <w:szCs w:val="18"/>
                <w:color w:val="3635D6"/>
                <w:w w:val="99"/>
              </w:rPr>
              <w:t>10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8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12</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9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42</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59</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59</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860" w:type="dxa"/>
            <w:vAlign w:val="bottom"/>
          </w:tcPr>
          <w:p>
            <w:pPr>
              <w:spacing w:after="0"/>
              <w:rPr>
                <w:sz w:val="24"/>
                <w:szCs w:val="24"/>
                <w:color w:val="auto"/>
              </w:rPr>
            </w:pPr>
          </w:p>
        </w:tc>
        <w:tc>
          <w:tcPr>
            <w:tcW w:w="894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80" w:type="dxa"/>
            <w:vAlign w:val="bottom"/>
          </w:tcPr>
          <w:p>
            <w:pPr>
              <w:spacing w:after="0"/>
              <w:rPr>
                <w:sz w:val="24"/>
                <w:szCs w:val="24"/>
                <w:color w:val="auto"/>
              </w:rPr>
            </w:pPr>
          </w:p>
        </w:tc>
        <w:tc>
          <w:tcPr>
            <w:tcW w:w="140" w:type="dxa"/>
            <w:vAlign w:val="bottom"/>
            <w:tcBorders>
              <w:top w:val="single" w:sz="8" w:color="3635D6"/>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60</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9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60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5.</w:t>
            </w:r>
          </w:p>
        </w:tc>
        <w:tc>
          <w:tcPr>
            <w:tcW w:w="894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60</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9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61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Borders>
              <w:right w:val="single" w:sz="8" w:color="3635D6"/>
            </w:tcBorders>
          </w:tcPr>
          <w:p>
            <w:pPr>
              <w:spacing w:after="0" w:line="20" w:lineRule="exact"/>
              <w:rPr>
                <w:sz w:val="1"/>
                <w:szCs w:val="1"/>
                <w:color w:val="auto"/>
              </w:rPr>
            </w:pPr>
          </w:p>
        </w:tc>
        <w:tc>
          <w:tcPr>
            <w:tcW w:w="140" w:type="dxa"/>
            <w:vAlign w:val="bottom"/>
            <w:tcBorders>
              <w:right w:val="single" w:sz="8" w:color="3635D6"/>
            </w:tcBorders>
            <w:shd w:val="clear" w:color="auto" w:fill="3635D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Western Digital, the Western Digital logo, SanDisk, and WD are registered trademarks or trademarks of Western Digital or its affiliates in the 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7"/>
          <w:szCs w:val="17"/>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w:t>
      </w:r>
    </w:p>
    <w:p>
      <w:pPr>
        <w:spacing w:after="0" w:line="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i w:val="1"/>
          <w:iCs w:val="1"/>
          <w:color w:val="auto"/>
        </w:rPr>
        <w:t>Examples of forward-looking statements include, but are not limited to, statements concerning: expectations regarding our plan to separate our HDD and Flash business units; the global macroeconomic environment; expectations regarding demand trends and market conditions for our products; expectations regarding long-term growth opportunities; expectations related to our agreed sale of a portion of our equity interest in SanDisk Semiconductor (Shanghai) Co. Ltd.; expectations regarding our product development and technology plans; expectations regarding capital expenditure plans and investments, including relating to our Flash Ventures joint venture with Kioxia Corporation (“Kioxia”); expectations regarding our effective tax rate and our unrecognized tax benefits; our ability to improve through-cycle profitability; and our beliefs regarding our capital allocation plans and the sufficiency of our available liquidity and access to capital markets to meet our working capital, debt and capital expenditure needs.</w:t>
      </w:r>
    </w:p>
    <w:p>
      <w:pPr>
        <w:spacing w:after="0" w:line="211" w:lineRule="exact"/>
        <w:rPr>
          <w:sz w:val="20"/>
          <w:szCs w:val="20"/>
          <w:color w:val="auto"/>
        </w:rPr>
      </w:pPr>
    </w:p>
    <w:p>
      <w:pPr>
        <w:ind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on management’s current expectations, represent the most current information available to the Company as of the date of this Quarterly Report on Form 10-Q and are subject to a number of risks, uncertainties and other factors that could cause actual results or</w:t>
      </w: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performance to differ materially from those expressed or implied in the forward-looking statements. These risks and uncertainties include, but are not limited to:</w:t>
      </w:r>
    </w:p>
    <w:p>
      <w:pPr>
        <w:spacing w:after="0" w:line="1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in global or regional economic conditions and our responsive actions thereto;</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operational, financial and legal challenges and difficulties inherent in implementing a separation of the company's HDD and Flash businesses;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approval of the separation by the company's board of directors;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dependence on a limited number of suppliers or disruptions in our supply chain;</w:t>
      </w:r>
    </w:p>
    <w:p>
      <w:pPr>
        <w:spacing w:after="0" w:line="9" w:lineRule="exact"/>
        <w:rPr>
          <w:rFonts w:ascii="Times New Roman" w:cs="Times New Roman" w:eastAsia="Times New Roman" w:hAnsi="Times New Roman"/>
          <w:sz w:val="18"/>
          <w:szCs w:val="18"/>
          <w:i w:val="1"/>
          <w:iCs w:val="1"/>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outcome, timing and impact of the planned separation of our HDD and Flash business units, including with respect to customer and supplier relationships, contractual restrictions, stock price volatility and the diversion of management’s attention from ongoing business operations and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responses to and effects of public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business and market conditions;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hiring and retention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defects;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strategic relationships with key partners, including Kioxia;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competitive environment, including actions by our competitors, and the impact of competitive products and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respond to market and other changes in our distribution channel and retail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level of debt and other financial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or unanticipated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currency exchange rates in connection with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w:t>
      </w:r>
    </w:p>
    <w:p>
      <w:pPr>
        <w:spacing w:after="0" w:line="9"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our goals relating to environmental, social and governance matters, including the company’s ability to meet its GHG emissions reduction and other ESG goals;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intellectual property and other proprietary information; and</w:t>
      </w:r>
    </w:p>
    <w:p>
      <w:pPr>
        <w:spacing w:after="0" w:line="9" w:lineRule="exact"/>
        <w:rPr>
          <w:rFonts w:ascii="Times New Roman" w:cs="Times New Roman" w:eastAsia="Times New Roman" w:hAnsi="Times New Roman"/>
          <w:sz w:val="18"/>
          <w:szCs w:val="18"/>
          <w:color w:val="auto"/>
        </w:rPr>
      </w:pPr>
    </w:p>
    <w:p>
      <w:pPr>
        <w:ind w:left="660" w:right="32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year ended June 30, 2023 (the “2023 Annual Report on Form 10-K”), as amended, supplemented or superseded in our other reports filed with the Securities and Exchange Commission, including under “Risk Factors” in Item 1A of our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2023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2023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Pr>
          <w:p>
            <w:pPr>
              <w:spacing w:after="0"/>
              <w:rPr>
                <w:sz w:val="13"/>
                <w:szCs w:val="13"/>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0" w:type="dxa"/>
            <w:vAlign w:val="bottom"/>
          </w:tcPr>
          <w:p>
            <w:pPr>
              <w:spacing w:after="0"/>
              <w:rPr>
                <w:sz w:val="1"/>
                <w:szCs w:val="1"/>
                <w:color w:val="auto"/>
              </w:rPr>
            </w:pPr>
          </w:p>
        </w:tc>
      </w:tr>
      <w:tr>
        <w:trPr>
          <w:trHeight w:val="235"/>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SHAREHOLDERS’</w:t>
            </w: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60" w:type="dxa"/>
            <w:vAlign w:val="bottom"/>
            <w:vMerge w:val="continue"/>
          </w:tcPr>
          <w:p>
            <w:pPr>
              <w:spacing w:after="0"/>
              <w:rPr>
                <w:sz w:val="14"/>
                <w:szCs w:val="14"/>
                <w:color w:val="auto"/>
              </w:rPr>
            </w:pPr>
          </w:p>
        </w:tc>
        <w:tc>
          <w:tcPr>
            <w:tcW w:w="1440" w:type="dxa"/>
            <w:vAlign w:val="bottom"/>
            <w:gridSpan w:val="2"/>
          </w:tcPr>
          <w:p>
            <w:pPr>
              <w:jc w:val="right"/>
              <w:ind w:right="780"/>
              <w:spacing w:after="0" w:line="166" w:lineRule="exact"/>
              <w:rPr>
                <w:sz w:val="20"/>
                <w:szCs w:val="20"/>
                <w:color w:val="auto"/>
              </w:rPr>
            </w:pPr>
            <w:r>
              <w:rPr>
                <w:rFonts w:ascii="Times New Roman" w:cs="Times New Roman" w:eastAsia="Times New Roman" w:hAnsi="Times New Roman"/>
                <w:sz w:val="16"/>
                <w:szCs w:val="16"/>
                <w:b w:val="1"/>
                <w:bCs w:val="1"/>
                <w:color w:val="auto"/>
                <w:w w:val="88"/>
              </w:rPr>
              <w:t>EQUITY</w:t>
            </w:r>
          </w:p>
        </w:tc>
        <w:tc>
          <w:tcPr>
            <w:tcW w:w="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10, 12 and 16)</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Convertible preferred stock, $0.01 par value; authorized — 5 shares; issued and outstanding — 1 shares; aggregate liquidation</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preference of $968 and $924, respectively</w:t>
            </w: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authorized — 450 shares; issued and outstanding — 326 shares and 322 shares, respectively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10,964</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7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5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7,851</w:t>
            </w:r>
          </w:p>
        </w:tc>
      </w:tr>
      <w:tr>
        <w:trPr>
          <w:trHeight w:val="21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income attributable to preferred shareholders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56"/>
        </w:trPr>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560" w:type="dxa"/>
            <w:vAlign w:val="bottom"/>
            <w:gridSpan w:val="4"/>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1"/>
                <w:szCs w:val="11"/>
                <w:color w:val="auto"/>
              </w:rPr>
            </w:pPr>
          </w:p>
        </w:tc>
        <w:tc>
          <w:tcPr>
            <w:tcW w:w="1180" w:type="dxa"/>
            <w:vAlign w:val="bottom"/>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pension gain (loss)</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unrealized gain (loss) on derivative contracts</w:t>
            </w: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07"/>
        </w:trPr>
        <w:tc>
          <w:tcPr>
            <w:tcW w:w="5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(161)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165"/>
        </w:trPr>
        <w:tc>
          <w:tcPr>
            <w:tcW w:w="5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0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(143)</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(565)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1"/>
                <w:szCs w:val="11"/>
                <w:color w:val="auto"/>
              </w:rPr>
            </w:pPr>
          </w:p>
        </w:tc>
        <w:tc>
          <w:tcPr>
            <w:tcW w:w="1180" w:type="dxa"/>
            <w:vAlign w:val="bottom"/>
          </w:tcPr>
          <w:p>
            <w:pPr>
              <w:jc w:val="right"/>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operations: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disposal of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asset impairment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repurchase of debt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96"/>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02"/>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convertible preferred stock</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debt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debt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r>
      <w:tr>
        <w:trPr>
          <w:trHeight w:val="20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6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080" w:type="dxa"/>
            <w:vAlign w:val="bottom"/>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29, 2023</w:t>
            </w:r>
          </w:p>
        </w:tc>
        <w:tc>
          <w:tcPr>
            <w:tcW w:w="6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6"/>
        </w:trPr>
        <w:tc>
          <w:tcPr>
            <w:tcW w:w="330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Purchase of capped calls related to the</w:t>
            </w: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convertible notes, net of tax</w:t>
            </w:r>
          </w:p>
        </w:tc>
        <w:tc>
          <w:tcPr>
            <w:tcW w:w="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6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29, 2023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6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29, 2024</w:t>
            </w: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100" w:type="dxa"/>
            <w:vAlign w:val="bottom"/>
          </w:tcPr>
          <w:p>
            <w:pPr>
              <w:spacing w:after="0"/>
              <w:rPr>
                <w:sz w:val="21"/>
                <w:szCs w:val="21"/>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10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July 1, 2022</w:t>
            </w: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12,323</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Adoption of new accounting standards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6"/>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12,222</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6"/>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 30,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0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12,245</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39"/>
        </w:trPr>
        <w:tc>
          <w:tcPr>
            <w:tcW w:w="330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convertible preferred stock, net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of issuance costs</w:t>
            </w: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Actuarial pension gain</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6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Pr>
          <w:p>
            <w:pPr>
              <w:spacing w:after="0"/>
              <w:rPr>
                <w:sz w:val="21"/>
                <w:szCs w:val="21"/>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based on both NAND flash and hard disk drive technologies.</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the following key end markets: Cloud, Client and Consumer. The Company also generates immaterial license and royalty revenue from its extensive intellectual property portfolio, which is included in each of these three end market categories.</w:t>
      </w:r>
    </w:p>
    <w:p>
      <w:pPr>
        <w:spacing w:after="0" w:line="201"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30, 2023. In the opinion of management, all adjustments necessary to fairly state the Condensed Consolidated Financial Statements have been made. Such adjustments consist of items of a normal, recurring nature as well as the revisions discussed further below.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30, 2023. The results of operations for interim periods are not necessarily indicative of results to be expected for the full year.</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2024, which will end on June 28, 2024, and fiscal year 2023, which ended on June 30, 2023, are each comprised of 52 weeks, with all quarters presented consisting of 13 weeks.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United States (“U.S.”) and in foreign countries through its sales personnel, dealers, distributors, retailers, and subsidiaries. The Company manages and reports under two reportable segments: flash-based products (“Flash”) and hard disk drives (“HDD”).</w:t>
      </w:r>
    </w:p>
    <w:p>
      <w:pPr>
        <w:spacing w:after="0" w:line="189"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The Chief Executive Officer, who is the Company’s Chief Operating Decision Maker (“CODM”), evaluates the performance of the Company and makes decisions regarding the allocation of resources based on each operating segment’s net revenue and gross margin. Because of the integrated nature of the Company’s production and distribution activities, separate segment asset measures are either not available or not used as a basis for the CODM to evaluate the performance of or to allocate resources to the segments.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Separation Costs</w:t>
      </w:r>
    </w:p>
    <w:p>
      <w:pPr>
        <w:spacing w:after="0" w:line="241" w:lineRule="exact"/>
        <w:rPr>
          <w:sz w:val="20"/>
          <w:szCs w:val="20"/>
          <w:color w:val="auto"/>
        </w:rPr>
      </w:pPr>
    </w:p>
    <w:p>
      <w:pPr>
        <w:ind w:right="180" w:firstLine="324"/>
        <w:spacing w:after="0" w:line="239" w:lineRule="auto"/>
        <w:rPr>
          <w:sz w:val="20"/>
          <w:szCs w:val="20"/>
          <w:color w:val="auto"/>
        </w:rPr>
      </w:pPr>
      <w:r>
        <w:rPr>
          <w:rFonts w:ascii="Times New Roman" w:cs="Times New Roman" w:eastAsia="Times New Roman" w:hAnsi="Times New Roman"/>
          <w:sz w:val="18"/>
          <w:szCs w:val="18"/>
          <w:color w:val="auto"/>
        </w:rPr>
        <w:t>On October 30, 2023, the Company announced that its Board of Directors had completed its strategic review of its business and, after evaluating a comprehensive range of alternatives, authorized the Company to pursue a plan to separate its Flash and HDD business units to create two independent, public companies. As a result of the plan, the Company incurred separation and transition costs and expects to incur such costs through the completion of the separation of the businesses, which the Company targets in the second half of calendar year 2024. The separation and transition costs are recorded within Business separation costs in the Condensed Consolidated Statements of Operations.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Revision of Previously Issued Financial Statements</w:t>
      </w:r>
    </w:p>
    <w:p>
      <w:pPr>
        <w:spacing w:after="0" w:line="241"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As previously disclosed in the Company’s Quarterly Report on Form 10-Q for the period ended December 28, 2023, in connection with the preparation of its Condensed Consolidated Financial Statements as of and for the three and six months ended December 29, 2023, the Company identified certain errors related to the Company’s reporting and recording of its interests in its equity method investments in Flash Partners Ltd., Flash Alliance Ltd., and Flash Forward Ltd. (collectively, “Flash Ventures”). The errors related to unadjusted differences between Flash Ventures’ application of Japanese generally accepted accounting principles to certain lease-related transactions compared to the applicable U.S. generally accepted accounting principles. These unadjusted differences resulted in differences in the equity in earnings from these entities recognized by the Company in Other income (expense), net and the carrying value of the Company’s equity method investments in Flash Ventures.</w:t>
      </w:r>
    </w:p>
    <w:p>
      <w:pPr>
        <w:spacing w:after="0" w:line="198" w:lineRule="exact"/>
        <w:rPr>
          <w:sz w:val="20"/>
          <w:szCs w:val="20"/>
          <w:color w:val="auto"/>
        </w:rPr>
      </w:pPr>
    </w:p>
    <w:p>
      <w:pPr>
        <w:ind w:right="20" w:firstLine="324"/>
        <w:spacing w:after="0"/>
        <w:rPr>
          <w:sz w:val="20"/>
          <w:szCs w:val="20"/>
          <w:color w:val="auto"/>
        </w:rPr>
      </w:pPr>
      <w:r>
        <w:rPr>
          <w:rFonts w:ascii="Times New Roman" w:cs="Times New Roman" w:eastAsia="Times New Roman" w:hAnsi="Times New Roman"/>
          <w:sz w:val="18"/>
          <w:szCs w:val="18"/>
          <w:color w:val="auto"/>
        </w:rPr>
        <w:t xml:space="preserve">Based on an analysis of quantitative and qualitative factors in accordance with SAB No. 99, “Materiality,” and SAB No. 108, “Considering the Effects of Prior Year Misstatements when Quantifying Misstatements in Current Year Financial Statements,” and as described further in Note 17, </w:t>
      </w:r>
      <w:r>
        <w:rPr>
          <w:rFonts w:ascii="Times New Roman" w:cs="Times New Roman" w:eastAsia="Times New Roman" w:hAnsi="Times New Roman"/>
          <w:sz w:val="18"/>
          <w:szCs w:val="18"/>
          <w:i w:val="1"/>
          <w:iCs w:val="1"/>
          <w:color w:val="auto"/>
        </w:rPr>
        <w:t>Revision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Previously Issued Financial Statements</w:t>
      </w:r>
      <w:r>
        <w:rPr>
          <w:rFonts w:ascii="Times New Roman" w:cs="Times New Roman" w:eastAsia="Times New Roman" w:hAnsi="Times New Roman"/>
          <w:sz w:val="18"/>
          <w:szCs w:val="18"/>
          <w:color w:val="auto"/>
        </w:rPr>
        <w:t>, the Company evaluated the errors and determined the related impacts were not material to its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prior periods when they occurred, but that correcting the cumulative errors in the period detected would have been material to the Company's results of operations for that period. Accordingly, the Company has revised previously reported financial information presented herein for such immaterial errors. A summary of revisions to the Condensed Consolidated Financial Statements presented herein is included for comparative purposes in Note 17, </w:t>
      </w:r>
      <w:r>
        <w:rPr>
          <w:rFonts w:ascii="Times New Roman" w:cs="Times New Roman" w:eastAsia="Times New Roman" w:hAnsi="Times New Roman"/>
          <w:sz w:val="18"/>
          <w:szCs w:val="18"/>
          <w:i w:val="1"/>
          <w:iCs w:val="1"/>
          <w:color w:val="auto"/>
        </w:rPr>
        <w:t>Revision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Previously Issued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an accounting standards update (“ASU”) No. 2022-04, “Liabilities-Supplier Finance Programs (Subtopic 405-50): Disclosure of Supplier Finance Program Obligations”, which requires annual and interim disclosures for entities that use supplier finance programs in connection with the purchase of goods and services. The ASU requires the Company to provide disclosure of outstanding obligations to such suppliers for all balance sheet dates presented beginning with the Company’s first quarter of 2024 and to provide certain rollforward information related to those obligations beginning in the Company’s first fiscal quarter of 2025. The ASU does not affect the recognition, measurement, or financial statement presentation of supplier finance program obligations. The Company adopted the guidance on the first day of fiscal year 2024, except for the rollforward information, which the Company is compiling and intends to provide beginning in fiscal year 2025. See Note 15, </w:t>
      </w:r>
      <w:r>
        <w:rPr>
          <w:rFonts w:ascii="Times New Roman" w:cs="Times New Roman" w:eastAsia="Times New Roman" w:hAnsi="Times New Roman"/>
          <w:sz w:val="18"/>
          <w:szCs w:val="18"/>
          <w:i w:val="1"/>
          <w:iCs w:val="1"/>
          <w:color w:val="auto"/>
        </w:rPr>
        <w:t>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Finance Program, </w:t>
      </w:r>
      <w:r>
        <w:rPr>
          <w:rFonts w:ascii="Times New Roman" w:cs="Times New Roman" w:eastAsia="Times New Roman" w:hAnsi="Times New Roman"/>
          <w:sz w:val="18"/>
          <w:szCs w:val="18"/>
          <w:color w:val="auto"/>
        </w:rPr>
        <w:t>of the Notes to Condensed Consolidated Financial Statements for information regarding the supplier finance program.</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41" w:lineRule="exact"/>
        <w:rPr>
          <w:sz w:val="20"/>
          <w:szCs w:val="20"/>
          <w:color w:val="auto"/>
        </w:rPr>
      </w:pPr>
    </w:p>
    <w:p>
      <w:pPr>
        <w:ind w:right="120" w:firstLine="324"/>
        <w:spacing w:after="0" w:line="24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expands on segment reporting requirements primarily through enhanced disclosures surrounding significant segment expenses. The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expects to provide any required disclosures at that time.</w:t>
      </w:r>
    </w:p>
    <w:p>
      <w:pPr>
        <w:spacing w:after="0" w:line="211" w:lineRule="exact"/>
        <w:rPr>
          <w:sz w:val="20"/>
          <w:szCs w:val="20"/>
          <w:color w:val="auto"/>
        </w:rPr>
      </w:pPr>
    </w:p>
    <w:p>
      <w:pPr>
        <w:ind w:right="280" w:firstLine="324"/>
        <w:spacing w:after="0" w:line="239"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calls for enhanced income tax disclosure requirements surrounding the tabular rate reconciliation and income taxes paid. The amendments are effective for the Company’s fiscal year 2026, with early adoption permitted. The Company is currently compiling the information required for these disclosures. These incremental disclosures will be required beginning with the Company’s financial statements for the year ending June 27, 2025. The Company expects to provide any required disclosures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Business Segments, Geographic Information, and Concentrations of Risk</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operating performance of the Company’s reportable segments: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7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49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4,686</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4,960</w:t>
            </w:r>
          </w:p>
        </w:tc>
      </w:tr>
      <w:tr>
        <w:trPr>
          <w:trHeight w:val="207"/>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9,239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9,646</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597</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1,237</w:t>
            </w:r>
          </w:p>
        </w:tc>
      </w:tr>
      <w:tr>
        <w:trPr>
          <w:trHeight w:val="207"/>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gross profit for segments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1,834</w:t>
            </w:r>
          </w:p>
        </w:tc>
      </w:tr>
      <w:tr>
        <w:trPr>
          <w:trHeight w:val="19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Recovery from contamination incident</w:t>
            </w:r>
          </w:p>
        </w:tc>
        <w:tc>
          <w:tcPr>
            <w:tcW w:w="26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r>
      <w:tr>
        <w:trPr>
          <w:trHeight w:val="207"/>
        </w:trPr>
        <w:tc>
          <w:tcPr>
            <w:tcW w:w="4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1,795</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r>
      <w:tr>
        <w:trPr>
          <w:trHeight w:val="210"/>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-2679065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-2679065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multiple end markets. Cloud is comprised primarily of products for public or private cloud environments and end customers.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disaggregated revenue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2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w:t>
            </w: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r>
      <w:tr>
        <w:trPr>
          <w:trHeight w:val="21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w:t>
            </w:r>
          </w:p>
        </w:tc>
      </w:tr>
      <w:tr>
        <w:trPr>
          <w:trHeight w:val="21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r>
      <w:tr>
        <w:trPr>
          <w:trHeight w:val="235"/>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-1739265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-1739265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top 10 customers accounted for 42% and 38% of its net revenue for each of the three and nine months ended March 29, 2024 and 49% and 45% of its net revenue for the three and nine months ended March 31, 2023, respectively. For the three and nine months ended March 29, 2024 and March 31, 2023, no single customer accounted for 10% or more of the Company’s net revenue.</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is not amortized. Instead, it is tested for impairment annually as of the beginning of the Company’s fourth quarter, or more frequently if</w:t>
      </w:r>
    </w:p>
    <w:p>
      <w:pPr>
        <w:spacing w:after="0" w:line="3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events or changes in circumstances indicate that goodwill may be impaired. Management performed goodwill impairment assessments for each segment and concluded that there were no indications of impairment for the periods presented. The following table provides a summary of goodwill activity for the period: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Flash</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HDD</w:t>
            </w:r>
          </w:p>
        </w:tc>
        <w:tc>
          <w:tcPr>
            <w:tcW w:w="34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w:t>
            </w:r>
          </w:p>
        </w:tc>
      </w:tr>
      <w:tr>
        <w:trPr>
          <w:trHeight w:val="213"/>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29, 2024</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Supplemental Financial Statement Data</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third-party purchasers in exchange for cash. During the nine months ended March 29, 2024 and March 31, 2023, the Company sold trade accounts receivable aggregating $623 million and $626 million, respectively. The discounts on the trade accounts receivable sold were not material and were recorded within Other income, net in the Condensed Consolidated Statements of Operations. As of March 29, 2024 and June 30, 2023, the amount of factored receivables that remained outstanding was $102 million and $150 million, respectively.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-1559560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54"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During the three months ended December 29, 2023, one IPR&amp;D project reached technological feasibility and $8 million was reclassified from IPR&amp;D to existing technology and commenced amortization over an estimated useful life of three years. As of March 29, 2024 and June 30, 2023, IPR&amp;D included in intangible assets, net was $72 million and $80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0" w:type="dxa"/>
            <w:vAlign w:val="bottom"/>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1"/>
                <w:szCs w:val="11"/>
                <w:color w:val="auto"/>
              </w:rPr>
            </w:pPr>
          </w:p>
        </w:tc>
        <w:tc>
          <w:tcPr>
            <w:tcW w:w="1180" w:type="dxa"/>
            <w:vAlign w:val="bottom"/>
          </w:tcPr>
          <w:p>
            <w:pPr>
              <w:jc w:val="right"/>
              <w:ind w:right="32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20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5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8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-864870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-864870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Current portion (included in Accrued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Long-term portion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438"/>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-727710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-865505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54" w:lineRule="exact"/>
        <w:rPr>
          <w:sz w:val="20"/>
          <w:szCs w:val="20"/>
          <w:color w:val="auto"/>
        </w:rPr>
      </w:pPr>
    </w:p>
    <w:p>
      <w:pPr>
        <w:ind w:right="420" w:firstLine="324"/>
        <w:spacing w:after="0" w:line="270" w:lineRule="auto"/>
        <w:rPr>
          <w:sz w:val="20"/>
          <w:szCs w:val="20"/>
          <w:color w:val="auto"/>
        </w:rPr>
      </w:pPr>
      <w:r>
        <w:rPr>
          <w:rFonts w:ascii="Times New Roman" w:cs="Times New Roman" w:eastAsia="Times New Roman" w:hAnsi="Times New Roman"/>
          <w:sz w:val="18"/>
          <w:szCs w:val="18"/>
          <w:color w:val="auto"/>
        </w:rPr>
        <w:t>Accumulated other comprehensive loss (“AOCL”), net of tax refers to expenses, gains and losses that are recorded as an element of shareholders’ equity but are excluded from net income. The following table illustrates the changes in the balances of each component of AOCL:</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 on</w:t>
            </w:r>
          </w:p>
        </w:tc>
        <w:tc>
          <w:tcPr>
            <w:tcW w:w="120" w:type="dxa"/>
            <w:vAlign w:val="bottom"/>
          </w:tcPr>
          <w:p>
            <w:pPr>
              <w:spacing w:after="0"/>
              <w:rPr>
                <w:sz w:val="12"/>
                <w:szCs w:val="12"/>
                <w:color w:val="auto"/>
              </w:rPr>
            </w:pPr>
          </w:p>
        </w:tc>
        <w:tc>
          <w:tcPr>
            <w:tcW w:w="13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 loss</w:t>
            </w: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29,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-1010920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-1010920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-1010920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29, 2024, the amounts reclassified out of AOCL were losses related to foreign exchange contracts that were substantially charged to Cost of revenue in the Condensed Consolidated Statements of Operations.</w:t>
      </w:r>
    </w:p>
    <w:p>
      <w:pPr>
        <w:spacing w:after="0" w:line="18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of March 29, 2024, substantially all existing net losses related to cash flow hedges recorded in AOCL are expected to be reclassified to earnings within the next twelve months. In addition, as of March 29, 2024,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 and June 30, 2023, and indicate the fair value hierarchy of the valuation techniques utilized to determine such values: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Short-term investments - Certificates of deposit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4"/>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7"/>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35"/>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-2965450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-2965450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-2965450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-1165225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-1165225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-1165225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ind w:firstLine="324"/>
        <w:spacing w:after="0" w:line="260"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2024 and the fourth quarter of 2023,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98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0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5"/>
        </w:trPr>
        <w:tc>
          <w:tcPr>
            <w:tcW w:w="5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Delayed Draw Term Loan due 2024</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2,295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2,615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1,566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7,768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w:t>
            </w:r>
          </w:p>
        </w:tc>
      </w:tr>
      <w:tr>
        <w:trPr>
          <w:trHeight w:val="21"/>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-1276350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-1276350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-1276350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43" w:lineRule="exact"/>
        <w:rPr>
          <w:sz w:val="20"/>
          <w:szCs w:val="20"/>
          <w:color w:val="auto"/>
        </w:rPr>
      </w:pPr>
    </w:p>
    <w:p>
      <w:pPr>
        <w:ind w:right="160" w:firstLine="324"/>
        <w:spacing w:after="0" w:line="250" w:lineRule="auto"/>
        <w:rPr>
          <w:sz w:val="20"/>
          <w:szCs w:val="20"/>
          <w:color w:val="auto"/>
        </w:rPr>
      </w:pPr>
      <w:r>
        <w:rPr>
          <w:rFonts w:ascii="Times New Roman" w:cs="Times New Roman" w:eastAsia="Times New Roman" w:hAnsi="Times New Roman"/>
          <w:sz w:val="18"/>
          <w:szCs w:val="18"/>
          <w:color w:val="auto"/>
        </w:rPr>
        <w:t>As of March 29, 2024, the Company had outstanding foreign exchange forward contracts that were designated as either cash flow hedges or non-designated hedges. Substantially all of the contract maturity dates of these foreign exchange forward contracts do not exceed 12 months. As of March 29, 2024, the Company did not have any derivative contracts with credit-risk-related contingent features.</w:t>
      </w: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Changes in fair values of the non-designated foreign exchange contracts are recognized in Other income, net and are largely offset by corresponding changes in the fair values of the foreign currency-denominated monetary assets and liabilities. For each of the three and nine months ended March 29, 2024 and March 31, 2023, total net realized and unrealized transaction and foreign exchange contract currency gains and losses were not material to the Company’s Condensed Consolidated Financial Statements.</w:t>
      </w:r>
    </w:p>
    <w:p>
      <w:pPr>
        <w:spacing w:after="0" w:line="207" w:lineRule="exact"/>
        <w:rPr>
          <w:sz w:val="20"/>
          <w:szCs w:val="20"/>
          <w:color w:val="auto"/>
        </w:rPr>
      </w:pPr>
    </w:p>
    <w:p>
      <w:pPr>
        <w:ind w:right="300" w:firstLine="324"/>
        <w:spacing w:after="0" w:line="294" w:lineRule="auto"/>
        <w:rPr>
          <w:sz w:val="20"/>
          <w:szCs w:val="20"/>
          <w:color w:val="auto"/>
        </w:rPr>
      </w:pPr>
      <w:r>
        <w:rPr>
          <w:rFonts w:ascii="Times New Roman" w:cs="Times New Roman" w:eastAsia="Times New Roman" w:hAnsi="Times New Roman"/>
          <w:sz w:val="18"/>
          <w:szCs w:val="18"/>
          <w:color w:val="auto"/>
        </w:rPr>
        <w:t xml:space="preserve">Unrealized gains or losses on designated cash flow hedges are recognized in AOCL. For more information regarding cash flow hedges, see Note 4, </w:t>
      </w:r>
      <w:r>
        <w:rPr>
          <w:rFonts w:ascii="Times New Roman" w:cs="Times New Roman" w:eastAsia="Times New Roman" w:hAnsi="Times New Roman"/>
          <w:sz w:val="18"/>
          <w:szCs w:val="18"/>
          <w:i w:val="1"/>
          <w:iCs w:val="1"/>
          <w:color w:val="auto"/>
        </w:rPr>
        <w:t xml:space="preserve">Supplemental Financial Statement Data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i w:val="1"/>
          <w:iCs w:val="1"/>
          <w:color w:val="auto"/>
        </w:rPr>
        <w:t xml:space="preserve"> Accumulated other comprehensive loss.</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March 29, 2024 and June 30, 2023,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Delayed Draw Term Loan due 2024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7,070</w:t>
            </w:r>
          </w:p>
        </w:tc>
      </w:tr>
      <w:tr>
        <w:trPr>
          <w:trHeight w:val="21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12"/>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-1842770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In August 2023, the Company drew $600 million of principal amount (the “Delayed Draw Term Loan”) under a loan agreement entered into in January 2023 and amended in June 2023 (the “Delayed Draw Term Loan Agreement”), which allowed the Company to draw a single loan of up to $600 million through August 14, 2023. The Delayed Draw Term Loan will mature on June 28, 2024. The Company repaid $300 million principal amount of the Delayed Draw Term Loan during the nine months ended March 29, 2024.</w:t>
      </w:r>
    </w:p>
    <w:p>
      <w:pPr>
        <w:spacing w:after="0" w:line="212" w:lineRule="exact"/>
        <w:rPr>
          <w:sz w:val="20"/>
          <w:szCs w:val="20"/>
          <w:color w:val="auto"/>
        </w:rPr>
      </w:pPr>
    </w:p>
    <w:p>
      <w:pPr>
        <w:ind w:right="300" w:firstLine="324"/>
        <w:spacing w:after="0" w:line="242" w:lineRule="auto"/>
        <w:rPr>
          <w:sz w:val="20"/>
          <w:szCs w:val="20"/>
          <w:color w:val="auto"/>
        </w:rPr>
      </w:pPr>
      <w:r>
        <w:rPr>
          <w:rFonts w:ascii="Times New Roman" w:cs="Times New Roman" w:eastAsia="Times New Roman" w:hAnsi="Times New Roman"/>
          <w:sz w:val="18"/>
          <w:szCs w:val="18"/>
          <w:color w:val="auto"/>
        </w:rPr>
        <w:t>The Delayed Draw Term Loan bears interest, at the Company’s option, at a per annum rate equal to either (x) the Adjusted Term SOFR Rate (as defined in the Delayed Draw Term Loan Agreement) plus an applicable margin varying from 1.750% to 2.625% or (y) a base rate plus an applicable margin varying from 0.750% to 1.625%, in each case depending on the corporate family ratings of the Company from at least two of Standard &amp; Poor’s Ratings Services, Moody’s Investors Service, Inc. and Fitch Ratings, Inc. (the “Credit Rating Agencies”). The all-in interest rate for the Delayed Draw Term Loan as of March 29, 2024 was 7.550%.</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nine months ended March 29, 2024, the Company made scheduled repayments of the Term Loan A-2 of $38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million, respectively. The Term Loan A-2 Loan bears interest, at the Company’s option, at a per annum rate equal to either (x) the Adjusted Term</w:t>
      </w:r>
    </w:p>
    <w:p>
      <w:pPr>
        <w:spacing w:after="0"/>
        <w:rPr>
          <w:sz w:val="20"/>
          <w:szCs w:val="20"/>
          <w:color w:val="auto"/>
        </w:rPr>
      </w:pPr>
      <w:r>
        <w:rPr>
          <w:rFonts w:ascii="Times New Roman" w:cs="Times New Roman" w:eastAsia="Times New Roman" w:hAnsi="Times New Roman"/>
          <w:sz w:val="17"/>
          <w:szCs w:val="17"/>
          <w:color w:val="auto"/>
        </w:rPr>
        <w:t>SOFR (as defined in the loan agreement governing the Term Loan A-2) plus an applicable margin varying from 1.125% to 2.000% or (y) a base rate plus 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margin varying from 0.125% to 1.000%, in each case depending on the corporate family ratings of the Company from at least two of the Credit</w:t>
      </w:r>
    </w:p>
    <w:p>
      <w:pPr>
        <w:spacing w:after="0" w:line="234" w:lineRule="auto"/>
        <w:rPr>
          <w:sz w:val="20"/>
          <w:szCs w:val="20"/>
          <w:color w:val="auto"/>
        </w:rPr>
      </w:pPr>
      <w:r>
        <w:rPr>
          <w:rFonts w:ascii="Times New Roman" w:cs="Times New Roman" w:eastAsia="Times New Roman" w:hAnsi="Times New Roman"/>
          <w:sz w:val="18"/>
          <w:szCs w:val="18"/>
          <w:color w:val="auto"/>
        </w:rPr>
        <w:t>Rating Agencies, with an initial interest rate of Adjusted Term SOFR plus 1.500%. The all-in interest rate for Term Loan A-2 as of March 29, 2024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6.930%.</w:t>
      </w:r>
    </w:p>
    <w:p>
      <w:pPr>
        <w:spacing w:after="0" w:line="205" w:lineRule="exact"/>
        <w:rPr>
          <w:sz w:val="20"/>
          <w:szCs w:val="20"/>
          <w:color w:val="auto"/>
        </w:rPr>
      </w:pPr>
    </w:p>
    <w:p>
      <w:pPr>
        <w:ind w:right="700"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29, 2024, the Company drew and repaid $300 million principal amount under its $2.25 billion revolving credit facility maturing in January 2027 (the “2027 Revolving Credit Facility”).</w:t>
      </w:r>
    </w:p>
    <w:p>
      <w:pPr>
        <w:spacing w:after="0" w:line="18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On March 25, 2024, the Company issued a standby letter of credit of $15 million, which reduced the Company’s 2027 Revolving Credit Facility’s capacity by the same amount to $2.24 billion as of March 29, 2024.</w:t>
      </w:r>
    </w:p>
    <w:p>
      <w:pPr>
        <w:spacing w:after="0" w:line="189" w:lineRule="exact"/>
        <w:rPr>
          <w:sz w:val="20"/>
          <w:szCs w:val="20"/>
          <w:color w:val="auto"/>
        </w:rPr>
      </w:pPr>
    </w:p>
    <w:p>
      <w:pPr>
        <w:jc w:val="both"/>
        <w:ind w:right="380" w:firstLine="324"/>
        <w:spacing w:after="0" w:line="250" w:lineRule="auto"/>
        <w:rPr>
          <w:sz w:val="20"/>
          <w:szCs w:val="20"/>
          <w:color w:val="auto"/>
        </w:rPr>
      </w:pPr>
      <w:r>
        <w:rPr>
          <w:rFonts w:ascii="Times New Roman" w:cs="Times New Roman" w:eastAsia="Times New Roman" w:hAnsi="Times New Roman"/>
          <w:sz w:val="18"/>
          <w:szCs w:val="18"/>
          <w:color w:val="auto"/>
        </w:rPr>
        <w:t>The loan agreements governing the Company’s 2027 Revolving Credit Facility, Term Loan A-2 maturing 2027, and the Delayed Draw Term Loan require the Company to comply with certain financial covenants, consisting of a leverage ratio, and a minimum liquidity requirement. As of March 29, 2024, the Company was in compliance with these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On November 3, 2023, the Company issued $1.60 billion aggregate principal amount of convertible senior notes which bear interest at an annual rate of 3.00% and mature on November 15, 2028, unless earlier repurchased, redeemed or converted (the “2028 Convertible Notes”). The Company is not required to make principal payments on the 2028 Convertible Notes prior to the maturity date. The 2028 Convertible Notes are jointly and severally guaranteed by each of the Company’s wholly-owned subsidiaries that guarantees the 4.75% senior unsecured notes due 2026 (currently, Western Digital Technologies, Inc.).</w:t>
      </w:r>
    </w:p>
    <w:p>
      <w:pPr>
        <w:spacing w:after="0" w:line="225"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The 2028 Convertible Notes are convertible at the option of any holder at an initial conversion price of approximately $52.20 per share of common stock beginning August 15, 2028. Prior to that date, if the trading price of the Company’s common stock remains above 130% of the conversion price for at least 20 trading days (whether or not consecutive) during the 30 consecutive trading-day period prior to the end of a quarter, holders of the 2028 Convertible Notes would have the right to convert the 2028 Convertible Notes during the next succeeding calendar quarter. The 2028 Convertible Notes are also convertible prior to that date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w:t>
      </w:r>
    </w:p>
    <w:p>
      <w:pPr>
        <w:spacing w:after="0" w:line="20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proceeds from the 2028 Convertible Notes were approximately $1,563 million after deducting issuance costs of approximately $37 million. Debt issuance costs are amortized to interest expense over the term of the 2028 Convertible Notes.</w:t>
      </w:r>
    </w:p>
    <w:p>
      <w:pPr>
        <w:spacing w:after="0" w:line="189" w:lineRule="exact"/>
        <w:rPr>
          <w:sz w:val="20"/>
          <w:szCs w:val="20"/>
          <w:color w:val="auto"/>
        </w:rPr>
      </w:pPr>
    </w:p>
    <w:p>
      <w:pPr>
        <w:jc w:val="both"/>
        <w:ind w:right="460" w:firstLine="324"/>
        <w:spacing w:after="0" w:line="250" w:lineRule="auto"/>
        <w:rPr>
          <w:sz w:val="20"/>
          <w:szCs w:val="20"/>
          <w:color w:val="auto"/>
        </w:rPr>
      </w:pPr>
      <w:r>
        <w:rPr>
          <w:rFonts w:ascii="Times New Roman" w:cs="Times New Roman" w:eastAsia="Times New Roman" w:hAnsi="Times New Roman"/>
          <w:sz w:val="18"/>
          <w:szCs w:val="18"/>
          <w:color w:val="auto"/>
        </w:rPr>
        <w:t>Contemporaneously with the issuance of the 2028 Convertible Notes, the Company entered into individually negotiated transactions with certain holders of the Company’s existing 2024 Convertible Notes to repurchase approximately $508 million aggregate principal amount of such notes at an immaterial discount.</w:t>
      </w:r>
    </w:p>
    <w:p>
      <w:pPr>
        <w:spacing w:after="0" w:line="21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2028 Convertible Notes, the Company also entered into privately negotiated capped call transactions with certain counterparties (the “Capped Calls”). The Capped Calls each have a strike price of approximately $52.20 per share, subject to certain adjustments, which correspond to the initial conversion price of the 2028 Convertible Notes. The Capped Calls have initial cap prices of $70.26 per share, subject to certain adjustments. The Capped Calls cover, subject to anti-dilution adjustments, approximately 8 million shares of the Company’s common stock. The Company has the option to settle the Capped Calls in either shares, cash or a combination thereof. The Capped Calls are generally intended to reduce or offset the potential dilution to the Company’s common stock upon any conversion of the 2028 Convertible Notes with such reduction or offset, as the case may be, subject to a cap based on the cap price. However, if the market price per share of the Company’s common stock, as measured under the terms of the Capped Calls, exceeds the cap prices of the Capped Calls, there would nevertheless be dilution and/or there would not be an offset of such cash payments, in each case, to the extent that such market price exceeds the cap price of the Capped Calls. The Capped Calls are separate transactions, and not part of the terms of the 2028 Convertible Notes. As these transactions meet certain accounting criteria, the Capped Calls are recorded in stockholders’ equity and are not accounted for as derivatives. The cost of the Capped Calls of $155 million, net of $37 million in deferred tax assets, was recorded as a decrease to Additional paid-in capital on the Company’s Condensed Consolidated Balance Sheets as of March 29, 2024.</w:t>
      </w:r>
    </w:p>
    <w:p>
      <w:pPr>
        <w:spacing w:after="0" w:line="21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On February 1, 2024, the Company settled all remaining 2024 Convertible Notes in accordance with their original terms for an aggregate cash principal payment of $592 million plus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3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tbl>
      <w:tblPr>
        <w:tblLayout w:type="fixed"/>
        <w:tblInd w:w="0" w:type="dxa"/>
        <w:tblCellMar>
          <w:top w:w="0" w:type="dxa"/>
          <w:left w:w="0" w:type="dxa"/>
          <w:bottom w:w="0" w:type="dxa"/>
          <w:right w:w="0" w:type="dxa"/>
        </w:tblCellMar>
      </w:tblPr>
      <w:tr>
        <w:trPr>
          <w:trHeight w:val="147"/>
        </w:trPr>
        <w:tc>
          <w:tcPr>
            <w:tcW w:w="826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ind w:right="383"/>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260" w:type="dxa"/>
            <w:vAlign w:val="bottom"/>
          </w:tcPr>
          <w:p>
            <w:pPr>
              <w:spacing w:after="0"/>
              <w:rPr>
                <w:sz w:val="17"/>
                <w:szCs w:val="17"/>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amount recognized</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periodic benefit costs were not material for the three and nine months ended March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29, 2024 and March 31, 2023, the Company made net payments to Flash Ventures of $0.7 billion and $2.5 billion, and $1.2 billion and $3.2 billion, respectively, for purchased flash-based memory wafers and net loans.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20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As of March 29, 2024 and June 30, 2023, the Company had accounts payable balances due to Flash Ventures of $310 million and $292 million, respectively.</w:t>
      </w:r>
    </w:p>
    <w:p>
      <w:pPr>
        <w:spacing w:after="0" w:line="189" w:lineRule="exact"/>
        <w:rPr>
          <w:sz w:val="20"/>
          <w:szCs w:val="20"/>
          <w:color w:val="auto"/>
        </w:rPr>
      </w:pPr>
    </w:p>
    <w:p>
      <w:pPr>
        <w:jc w:val="both"/>
        <w:ind w:right="180" w:firstLine="324"/>
        <w:spacing w:after="0" w:line="263" w:lineRule="auto"/>
        <w:rPr>
          <w:sz w:val="20"/>
          <w:szCs w:val="20"/>
          <w:color w:val="auto"/>
        </w:rPr>
      </w:pPr>
      <w:r>
        <w:rPr>
          <w:rFonts w:ascii="Times New Roman" w:cs="Times New Roman" w:eastAsia="Times New Roman" w:hAnsi="Times New Roman"/>
          <w:sz w:val="18"/>
          <w:szCs w:val="18"/>
          <w:color w:val="auto"/>
        </w:rPr>
        <w:t>The Company’s maximum reasonably estimable loss exposure (excluding lost profits) as a result of its involvement with Flash Ventures, based upon the Japanese yen to U.S. dollar exchange rate at March 29, 2024,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8"/>
        </w:trPr>
        <w:tc>
          <w:tcPr>
            <w:tcW w:w="9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42"/>
              <w:spacing w:after="0" w:line="148"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9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9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37"/>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14"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Flash Ventures has historically operated near 100% of its manufacturing capacity. As a result of flash market conditions, during the second half of 2023 and the first two quarters of 2024, the Company temporarily reduced its utilization of its share of Flash Ventures’ manufacturing capacity to an abnormally low level during that period to more closely align the Company’s flash-based wafer supply with projected demand. During the nine months ended</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March 29, 2024, the Company incurred costs of $249 million associated with the reduction in utilization related to Flash Ventures, which was recorded as a charge to Cost of revenue. No such charges were incurred during the three months ended March 29, 2024 nor the three and nine months ended March 31, 2023.</w:t>
      </w:r>
    </w:p>
    <w:p>
      <w:pPr>
        <w:spacing w:after="0" w:line="21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2022, contamination of certain material used in manufacturing processes occurred at Flash Ventures’ fabrication facilities in both Yokkaichi and Kitakami, Japan which resulted in damage to inventory units in production, a temporary disruption to production operations and a reduction in the Company’s flash wafer availability. During 2022, the Company incurred charges of $207 million related to this contamination incident that were recorded in Cost of revenue and primarily consisted of scrapped inventory and rework costs, decontamination and other costs needed to restore the facilities to normal capacity, as well as charges for under absorption of overhead costs. During the three months ended December 29, 2023, the Company received a recovery of $36 million related to this incident from its insurance carriers, which was recorded in Cost of revenue. The Company continues to pursue recovery of its remaining losses associated with this event; however, the total amount of recovery cannot be estimated at this time.</w:t>
      </w:r>
    </w:p>
    <w:p>
      <w:pPr>
        <w:spacing w:after="0" w:line="216"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facility agreements with Kioxia related to the construction and operation of Kioxia’s “K1” 300-millimeter wafer fabrication facility in Kitakami, Japan and a wafer fabrication facility in Yokkaichi, Japan, referred to as “Y7”. In connection with the start-up of these facilities, the Company has made prepayments toward future building depreciation. As of March 29, 2024, such prepayments aggregated $496 million and will be credited against future wafer charges.</w:t>
      </w:r>
    </w:p>
    <w:p>
      <w:pPr>
        <w:spacing w:after="0" w:line="205" w:lineRule="exact"/>
        <w:rPr>
          <w:sz w:val="20"/>
          <w:szCs w:val="20"/>
          <w:color w:val="auto"/>
        </w:rPr>
      </w:pPr>
    </w:p>
    <w:p>
      <w:pPr>
        <w:ind w:right="300"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under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185" w:lineRule="exact"/>
        <w:rPr>
          <w:sz w:val="20"/>
          <w:szCs w:val="20"/>
          <w:color w:val="auto"/>
        </w:rPr>
      </w:pPr>
    </w:p>
    <w:p>
      <w:pPr>
        <w:ind w:right="840" w:firstLine="162"/>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Activities. </w:t>
      </w:r>
      <w:r>
        <w:rPr>
          <w:rFonts w:ascii="Times New Roman" w:cs="Times New Roman" w:eastAsia="Times New Roman" w:hAnsi="Times New Roman"/>
          <w:sz w:val="17"/>
          <w:szCs w:val="17"/>
          <w:color w:val="auto"/>
        </w:rPr>
        <w:t>The Company participates in common research and development (“R&amp;D”) activities with Kioxia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contractually committed to a minimum funding level. R&amp;D commitments are immaterial to the Condensed Consolidated Financial Statements.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7"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March 29, 2024.</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3"/>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26"/>
              <w:spacing w:after="0" w:line="131"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260" w:type="dxa"/>
            <w:vAlign w:val="bottom"/>
          </w:tcPr>
          <w:p>
            <w:pPr>
              <w:spacing w:after="0"/>
              <w:rPr>
                <w:sz w:val="11"/>
                <w:szCs w:val="11"/>
                <w:color w:val="auto"/>
              </w:rPr>
            </w:pPr>
          </w:p>
        </w:tc>
        <w:tc>
          <w:tcPr>
            <w:tcW w:w="1240" w:type="dxa"/>
            <w:vAlign w:val="bottom"/>
          </w:tcPr>
          <w:p>
            <w:pPr>
              <w:jc w:val="center"/>
              <w:ind w:right="105"/>
              <w:spacing w:after="0" w:line="131" w:lineRule="exact"/>
              <w:rPr>
                <w:sz w:val="20"/>
                <w:szCs w:val="20"/>
                <w:color w:val="auto"/>
              </w:rPr>
            </w:pPr>
            <w:r>
              <w:rPr>
                <w:rFonts w:ascii="Times New Roman" w:cs="Times New Roman" w:eastAsia="Times New Roman" w:hAnsi="Times New Roman"/>
                <w:sz w:val="14"/>
                <w:szCs w:val="14"/>
                <w:i w:val="1"/>
                <w:iCs w:val="1"/>
                <w:color w:val="auto"/>
              </w:rPr>
              <w:t>(U.S. dollar, in</w:t>
            </w:r>
          </w:p>
        </w:tc>
      </w:tr>
      <w:tr>
        <w:trPr>
          <w:trHeight w:val="195"/>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26"/>
              <w:spacing w:after="0"/>
              <w:rPr>
                <w:sz w:val="20"/>
                <w:szCs w:val="20"/>
                <w:color w:val="auto"/>
              </w:rPr>
            </w:pPr>
            <w:r>
              <w:rPr>
                <w:rFonts w:ascii="Times New Roman" w:cs="Times New Roman" w:eastAsia="Times New Roman" w:hAnsi="Times New Roman"/>
                <w:sz w:val="14"/>
                <w:szCs w:val="14"/>
                <w:i w:val="1"/>
                <w:iCs w:val="1"/>
                <w:color w:val="auto"/>
              </w:rPr>
              <w:t>billions)</w:t>
            </w:r>
          </w:p>
        </w:tc>
        <w:tc>
          <w:tcPr>
            <w:tcW w:w="26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i w:val="1"/>
                <w:iCs w:val="1"/>
                <w:color w:val="auto"/>
              </w:rPr>
              <w:t>millions)</w:t>
            </w: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216</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324"/>
        <w:spacing w:after="0" w:line="263"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March 29, 2024 in U.S. dollars, based upon the Japanese yen to U.S. dollar exchange rate as of March 29, 2024:</w:t>
      </w:r>
    </w:p>
    <w:tbl>
      <w:tblPr>
        <w:tblLayout w:type="fixed"/>
        <w:tblInd w:w="0" w:type="dxa"/>
        <w:tblCellMar>
          <w:top w:w="0" w:type="dxa"/>
          <w:left w:w="0" w:type="dxa"/>
          <w:bottom w:w="0" w:type="dxa"/>
          <w:right w:w="0" w:type="dxa"/>
        </w:tblCellMar>
      </w:tblPr>
      <w:tr>
        <w:trPr>
          <w:trHeight w:val="150"/>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of Principal</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0" w:lineRule="exact"/>
              <w:rPr>
                <w:sz w:val="20"/>
                <w:szCs w:val="20"/>
                <w:color w:val="auto"/>
              </w:rPr>
            </w:pPr>
            <w:r>
              <w:rPr>
                <w:rFonts w:ascii="Times New Roman" w:cs="Times New Roman" w:eastAsia="Times New Roman" w:hAnsi="Times New Roman"/>
                <w:sz w:val="14"/>
                <w:szCs w:val="14"/>
                <w:b w:val="1"/>
                <w:bCs w:val="1"/>
                <w:color w:val="auto"/>
              </w:rPr>
              <w:t>Purchase Option</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Installments</w:t>
            </w:r>
          </w:p>
        </w:tc>
        <w:tc>
          <w:tcPr>
            <w:tcW w:w="1520" w:type="dxa"/>
            <w:vAlign w:val="bottom"/>
            <w:gridSpan w:val="3"/>
            <w:vMerge w:val="continue"/>
          </w:tcPr>
          <w:p>
            <w:pPr>
              <w:spacing w:after="0"/>
              <w:rPr>
                <w:sz w:val="12"/>
                <w:szCs w:val="12"/>
                <w:color w:val="auto"/>
              </w:rPr>
            </w:pPr>
          </w:p>
        </w:tc>
        <w:tc>
          <w:tcPr>
            <w:tcW w:w="154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Guarantee Amount</w:t>
            </w:r>
          </w:p>
        </w:tc>
        <w:tc>
          <w:tcPr>
            <w:tcW w:w="0" w:type="dxa"/>
            <w:vAlign w:val="bottom"/>
          </w:tcPr>
          <w:p>
            <w:pPr>
              <w:spacing w:after="0"/>
              <w:rPr>
                <w:sz w:val="1"/>
                <w:szCs w:val="1"/>
                <w:color w:val="auto"/>
              </w:rPr>
            </w:pPr>
          </w:p>
        </w:tc>
      </w:tr>
      <w:tr>
        <w:trPr>
          <w:trHeight w:val="198"/>
        </w:trPr>
        <w:tc>
          <w:tcPr>
            <w:tcW w:w="6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 Terms</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three months of 2024</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-1148080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-1148080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March 29, 2024, no amounts had been accrued in the Condensed Consolidated Financial Statements with respect to these indemnification agreements.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5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nine months ended March 29, 2024, the Company recognized approximately 4% of its consolidated revenue on products distributed by the Unis Venture. For both the three and nine months ended March 31, 2023, the Company recognized approximately 3% of its consolidated revenue on products distributed by the Unis Venture. The outstanding accounts receivable due from the Unis Venture were 10% and 8% of Accounts receivable, net as of both March 29, 2024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related to operating leases as of March 29,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9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96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Minimum lease payments by year:</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Remaining three months of 2024</w:t>
            </w: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r>
      <w:tr>
        <w:trPr>
          <w:trHeight w:val="21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50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329</w:t>
            </w:r>
          </w:p>
        </w:tc>
      </w:tr>
      <w:tr>
        <w:trPr>
          <w:trHeight w:val="207"/>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50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593</w:t>
            </w:r>
          </w:p>
        </w:tc>
      </w:tr>
      <w:tr>
        <w:trPr>
          <w:trHeight w:val="21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w:t>
            </w:r>
          </w:p>
        </w:tc>
      </w:tr>
      <w:tr>
        <w:trPr>
          <w:trHeight w:val="207"/>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50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429</w:t>
            </w:r>
          </w:p>
        </w:tc>
      </w:tr>
      <w:tr>
        <w:trPr>
          <w:trHeight w:val="216"/>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portion (included in Accrued expenses)</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9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 )</w:t>
            </w:r>
          </w:p>
        </w:tc>
        <w:tc>
          <w:tcPr>
            <w:tcW w:w="5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9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408</w:t>
            </w:r>
          </w:p>
        </w:tc>
      </w:tr>
      <w:tr>
        <w:trPr>
          <w:trHeight w:val="259"/>
        </w:trPr>
        <w:tc>
          <w:tcPr>
            <w:tcW w:w="96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20" w:type="dxa"/>
            <w:vAlign w:val="bottom"/>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3"/>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1120" w:type="dxa"/>
            <w:vAlign w:val="bottom"/>
          </w:tcPr>
          <w:p>
            <w:pPr>
              <w:jc w:val="center"/>
              <w:ind w:left="226"/>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40" w:type="dxa"/>
            <w:vAlign w:val="bottom"/>
          </w:tcPr>
          <w:p>
            <w:pPr>
              <w:spacing w:after="0"/>
              <w:rPr>
                <w:sz w:val="11"/>
                <w:szCs w:val="11"/>
                <w:color w:val="auto"/>
              </w:rPr>
            </w:pPr>
          </w:p>
        </w:tc>
        <w:tc>
          <w:tcPr>
            <w:tcW w:w="1160" w:type="dxa"/>
            <w:vAlign w:val="bottom"/>
          </w:tcPr>
          <w:p>
            <w:pPr>
              <w:jc w:val="center"/>
              <w:ind w:left="345"/>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364"/>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20" w:type="dxa"/>
            <w:vAlign w:val="bottom"/>
          </w:tcPr>
          <w:p>
            <w:pPr>
              <w:spacing w:after="0"/>
              <w:rPr>
                <w:sz w:val="11"/>
                <w:szCs w:val="11"/>
                <w:color w:val="auto"/>
              </w:rPr>
            </w:pPr>
          </w:p>
        </w:tc>
        <w:tc>
          <w:tcPr>
            <w:tcW w:w="1180" w:type="dxa"/>
            <w:vAlign w:val="bottom"/>
          </w:tcPr>
          <w:p>
            <w:pPr>
              <w:jc w:val="right"/>
              <w:ind w:right="323"/>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200" w:type="dxa"/>
            <w:vAlign w:val="bottom"/>
          </w:tcPr>
          <w:p>
            <w:pPr>
              <w:spacing w:after="0"/>
              <w:rPr>
                <w:sz w:val="17"/>
                <w:szCs w:val="17"/>
                <w:color w:val="auto"/>
              </w:rPr>
            </w:pPr>
          </w:p>
        </w:tc>
        <w:tc>
          <w:tcPr>
            <w:tcW w:w="11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2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16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20" w:type="dxa"/>
            <w:vAlign w:val="bottom"/>
          </w:tcPr>
          <w:p>
            <w:pPr>
              <w:spacing w:after="0"/>
              <w:rPr>
                <w:sz w:val="18"/>
                <w:szCs w:val="18"/>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49</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178</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Sale-Leaseback</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2023, the Company completed a sale and leaseback of its facility in Milpitas, California. The Company received net proceeds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$191 million in cash and recorded a gain of $85 million on the sale. In connection with the sale, the Company agreed to lease back the facility at an annual lease rate of $16 million for the first year, increasing by 3% per year thereafter through January 1, 2039. The lease includes three 5-year renewal options and one 4-year renewal option for the ability to extend through December 2057. The supplemental balance sheet information and supplemental disclosures of operating cost and cash flow information related to the lease are included in the tables above.</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Agreements and Other Commitments</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March 29, 2024, the Company had the following minimum long-term commitments:</w:t>
      </w:r>
    </w:p>
    <w:tbl>
      <w:tblPr>
        <w:tblLayout w:type="fixed"/>
        <w:tblInd w:w="0" w:type="dxa"/>
        <w:tblCellMar>
          <w:top w:w="0" w:type="dxa"/>
          <w:left w:w="0" w:type="dxa"/>
          <w:bottom w:w="0" w:type="dxa"/>
          <w:right w:w="0" w:type="dxa"/>
        </w:tblCellMar>
      </w:tblPr>
      <w:tr>
        <w:trPr>
          <w:trHeight w:val="150"/>
        </w:trPr>
        <w:tc>
          <w:tcPr>
            <w:tcW w:w="9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02"/>
              <w:spacing w:after="0" w:line="150" w:lineRule="exact"/>
              <w:rPr>
                <w:sz w:val="20"/>
                <w:szCs w:val="20"/>
                <w:color w:val="auto"/>
              </w:rPr>
            </w:pPr>
            <w:r>
              <w:rPr>
                <w:rFonts w:ascii="Times New Roman" w:cs="Times New Roman" w:eastAsia="Times New Roman" w:hAnsi="Times New Roman"/>
                <w:sz w:val="14"/>
                <w:szCs w:val="14"/>
                <w:b w:val="1"/>
                <w:bCs w:val="1"/>
                <w:color w:val="auto"/>
              </w:rPr>
              <w:t>Long-Term</w:t>
            </w:r>
          </w:p>
        </w:tc>
      </w:tr>
      <w:tr>
        <w:trPr>
          <w:trHeight w:val="195"/>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95"/>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Remaining three months of 2024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2"/>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Shareholders’ Equity and Convertible Preferred Stock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20" w:firstLine="324"/>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gridSpan w:val="6"/>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jc w:val="center"/>
              <w:ind w:left="226"/>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jc w:val="center"/>
              <w:ind w:left="24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1"/>
                <w:szCs w:val="11"/>
                <w:color w:val="auto"/>
              </w:rPr>
            </w:pPr>
          </w:p>
        </w:tc>
        <w:tc>
          <w:tcPr>
            <w:tcW w:w="1180" w:type="dxa"/>
            <w:vAlign w:val="bottom"/>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200" w:type="dxa"/>
            <w:vAlign w:val="bottom"/>
          </w:tcPr>
          <w:p>
            <w:pPr>
              <w:spacing w:after="0"/>
              <w:rPr>
                <w:sz w:val="16"/>
                <w:szCs w:val="16"/>
                <w:color w:val="auto"/>
              </w:rPr>
            </w:pPr>
          </w:p>
        </w:tc>
        <w:tc>
          <w:tcPr>
            <w:tcW w:w="1100" w:type="dxa"/>
            <w:vAlign w:val="bottom"/>
            <w:tcBorders>
              <w:bottom w:val="single" w:sz="8" w:color="auto"/>
            </w:tcBorders>
            <w:gridSpan w:val="2"/>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5"/>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100" w:type="dxa"/>
            <w:vAlign w:val="bottom"/>
            <w:gridSpan w:val="2"/>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7"/>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gridSpan w:val="2"/>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0"/>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6"/>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9"/>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jc w:val="center"/>
              <w:ind w:left="266"/>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jc w:val="center"/>
              <w:ind w:left="245"/>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1"/>
                <w:szCs w:val="11"/>
                <w:color w:val="auto"/>
              </w:rPr>
            </w:pPr>
          </w:p>
        </w:tc>
        <w:tc>
          <w:tcPr>
            <w:tcW w:w="1180" w:type="dxa"/>
            <w:vAlign w:val="bottom"/>
          </w:tcPr>
          <w:p>
            <w:pPr>
              <w:jc w:val="center"/>
              <w:ind w:right="16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200" w:type="dxa"/>
            <w:vAlign w:val="bottom"/>
          </w:tcPr>
          <w:p>
            <w:pPr>
              <w:spacing w:after="0"/>
              <w:rPr>
                <w:sz w:val="17"/>
                <w:szCs w:val="17"/>
                <w:color w:val="auto"/>
              </w:rPr>
            </w:pPr>
          </w:p>
        </w:tc>
        <w:tc>
          <w:tcPr>
            <w:tcW w:w="11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00" w:type="dxa"/>
            <w:vAlign w:val="bottom"/>
            <w:gridSpan w:val="2"/>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9"/>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8"/>
                <w:szCs w:val="18"/>
                <w:color w:val="auto"/>
              </w:rPr>
            </w:pPr>
          </w:p>
        </w:tc>
        <w:tc>
          <w:tcPr>
            <w:tcW w:w="1080" w:type="dxa"/>
            <w:vAlign w:val="bottom"/>
            <w:tcBorders>
              <w:bottom w:val="single" w:sz="8" w:color="auto"/>
            </w:tcBorders>
          </w:tcPr>
          <w:p>
            <w:pPr>
              <w:jc w:val="right"/>
              <w:ind w:right="906"/>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-2167890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-2167890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-1010920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-1010920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Any shortfalls or excess windfall tax benefits and tax deficiencies for shortfalls related to the vesting and exercise of stock-based awards, which are recognized as a component of the Company’s Income tax expense, were not material for the periods presented.</w:t>
      </w:r>
    </w:p>
    <w:p>
      <w:pPr>
        <w:spacing w:after="0" w:line="189" w:lineRule="exact"/>
        <w:rPr>
          <w:sz w:val="20"/>
          <w:szCs w:val="20"/>
          <w:color w:val="auto"/>
        </w:rPr>
      </w:pPr>
    </w:p>
    <w:p>
      <w:pPr>
        <w:ind w:right="440" w:firstLine="324"/>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are generally amortized on a straight-line basis over the remaining average service period. The following table presents the unamortized compensation cost and weighted average service period of all unvested outstanding awards as of March 29, 2024:</w:t>
      </w:r>
    </w:p>
    <w:tbl>
      <w:tblPr>
        <w:tblLayout w:type="fixed"/>
        <w:tblInd w:w="0" w:type="dxa"/>
        <w:tblCellMar>
          <w:top w:w="0" w:type="dxa"/>
          <w:left w:w="0" w:type="dxa"/>
          <w:bottom w:w="0" w:type="dxa"/>
          <w:right w:w="0" w:type="dxa"/>
        </w:tblCellMar>
      </w:tblPr>
      <w:tr>
        <w:trPr>
          <w:trHeight w:val="150"/>
        </w:trPr>
        <w:tc>
          <w:tcPr>
            <w:tcW w:w="148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41"/>
              <w:spacing w:after="0" w:line="150"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3"/>
                <w:szCs w:val="13"/>
                <w:color w:val="auto"/>
              </w:rPr>
            </w:pPr>
          </w:p>
        </w:tc>
        <w:tc>
          <w:tcPr>
            <w:tcW w:w="14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213"/>
        </w:trPr>
        <w:tc>
          <w:tcPr>
            <w:tcW w:w="14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41"/>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(years)</w:t>
            </w:r>
          </w:p>
        </w:tc>
      </w:tr>
      <w:tr>
        <w:trPr>
          <w:trHeight w:val="218"/>
        </w:trPr>
        <w:tc>
          <w:tcPr>
            <w:tcW w:w="826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0.7</w:t>
            </w:r>
          </w:p>
        </w:tc>
      </w:tr>
      <w:tr>
        <w:trPr>
          <w:trHeight w:val="237"/>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6"/>
        </w:trPr>
        <w:tc>
          <w:tcPr>
            <w:tcW w:w="148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8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conditions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ind w:right="84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summarizes stock option activity under the Company’s incentive plans. As of March 29, 2024, there were no remaining outstanding options.</w:t>
      </w: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4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2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June 30,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Canceled or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March 29,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7"/>
                <w:szCs w:val="17"/>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June 30,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March 29,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43"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for an aggregate purchase price of $900 million, less issuance costs of $24 million. The Preferred Shares accrue a cumulative preferred dividend at an annual rate of 6.25% per annum (increasing to 7.25% per annum on January 31, 2030 and to 8.25% per annum on January 31, 2033) compounded on a quarterly basis. The Preferred Shares also participate in any dividends declared for common shareholders on an as-converted equivalent basis. No dividends have been declared or paid since the issuance of the Preferred Shares. As of March 29, 2024 and June 30, 2023, unpaid and cumulative dividends payable with respect to the Preferred Shares were $68 million and $24 million, respectively.</w:t>
      </w:r>
    </w:p>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March 29, 2024 and June 30, 2023, the Preferred Shares outstanding had an aggregate liquidation preference of $968 million and $924 million, respectively, and would have been convertible, if otherwise permitted, into approximately 20 million shares of common stock on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The Company completed its accounting for the tax effects of the enactment of the 2017 Act during the second quarter of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01"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 billion. The corporate alternative minimum tax is effective for the Company beginning with fiscal year 2024. The Company is not subject to the CAMT of 15% for fiscal year 2024 as its average annual AFSI did not exceed $1.0 billion for the preceding three-year period.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2720" w:type="dxa"/>
            <w:vAlign w:val="bottom"/>
            <w:gridSpan w:val="2"/>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9"/>
        </w:trPr>
        <w:tc>
          <w:tcPr>
            <w:tcW w:w="4900" w:type="dxa"/>
            <w:vAlign w:val="bottom"/>
          </w:tcPr>
          <w:p>
            <w:pPr>
              <w:spacing w:after="0"/>
              <w:rPr>
                <w:sz w:val="11"/>
                <w:szCs w:val="11"/>
                <w:color w:val="auto"/>
              </w:rPr>
            </w:pPr>
          </w:p>
        </w:tc>
        <w:tc>
          <w:tcPr>
            <w:tcW w:w="1100" w:type="dxa"/>
            <w:vAlign w:val="bottom"/>
          </w:tcPr>
          <w:p>
            <w:pPr>
              <w:jc w:val="center"/>
              <w:ind w:left="326"/>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660" w:type="dxa"/>
            <w:vAlign w:val="bottom"/>
          </w:tcPr>
          <w:p>
            <w:pPr>
              <w:spacing w:after="0"/>
              <w:rPr>
                <w:sz w:val="11"/>
                <w:szCs w:val="11"/>
                <w:color w:val="auto"/>
              </w:rPr>
            </w:pPr>
          </w:p>
        </w:tc>
        <w:tc>
          <w:tcPr>
            <w:tcW w:w="1340" w:type="dxa"/>
            <w:vAlign w:val="bottom"/>
          </w:tcPr>
          <w:p>
            <w:pPr>
              <w:jc w:val="right"/>
              <w:ind w:right="364"/>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right"/>
              <w:ind w:right="624"/>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360" w:type="dxa"/>
            <w:vAlign w:val="bottom"/>
          </w:tcPr>
          <w:p>
            <w:pPr>
              <w:jc w:val="right"/>
              <w:ind w:right="363"/>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4900" w:type="dxa"/>
            <w:vAlign w:val="bottom"/>
          </w:tcPr>
          <w:p>
            <w:pPr>
              <w:spacing w:after="0"/>
              <w:rPr>
                <w:sz w:val="17"/>
                <w:szCs w:val="17"/>
                <w:color w:val="auto"/>
              </w:rPr>
            </w:pPr>
          </w:p>
        </w:tc>
        <w:tc>
          <w:tcPr>
            <w:tcW w:w="11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10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178</w:t>
            </w:r>
          </w:p>
        </w:tc>
        <w:tc>
          <w:tcPr>
            <w:tcW w:w="13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6"/>
                <w:szCs w:val="16"/>
                <w:color w:val="auto"/>
              </w:rPr>
              <w:t>(763)</w:t>
            </w:r>
          </w:p>
        </w:tc>
        <w:tc>
          <w:tcPr>
            <w:tcW w:w="13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(816)</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0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43</w:t>
            </w: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74</w:t>
            </w:r>
          </w:p>
        </w:tc>
        <w:tc>
          <w:tcPr>
            <w:tcW w:w="13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159</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24 %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(10)%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-548005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-548005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-548005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Beginning in 2023, the 2017 Act requires the Company to capitalize and amortize R&amp;D expenses rather than expensing them in the year incurred. The tax effects related to the capitalization of R&amp;D expenses are included in the effective tax rate for the three and nine months ended March 29, 2024 and March 31, 2023.</w:t>
      </w:r>
    </w:p>
    <w:p>
      <w:pPr>
        <w:spacing w:after="0" w:line="204" w:lineRule="exact"/>
        <w:rPr>
          <w:sz w:val="20"/>
          <w:szCs w:val="20"/>
          <w:color w:val="auto"/>
        </w:rPr>
      </w:pPr>
    </w:p>
    <w:p>
      <w:pPr>
        <w:ind w:right="60" w:firstLine="324"/>
        <w:spacing w:after="0" w:line="235"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March 29, 2024 and the U.S. Federal statutory rate of 21% are the relative mix of earnings and losses by jurisdiction, the deduction for foreign-derived intangible income, credits, and tax holidays in Malaysia, the Philippines and Thailand that have or will expire at various dates during years 2024 through 2031. On November 1, 2023, one of the Company’s tax holidays in Malaysia expired. The Company has applied for an extension and anticipates this extension, if granted, will be applied retroactively and begin on November 2, 2023. Because the exact terms of the extension are not currently known, the Company is applying the Malaysia corporate statutory tax rate on the expired tax holiday income. If a retroactive extension is granted, the Company will make an adjustment to its effective tax rate in that period. The effective tax rate for the three and nine months ended March 29, 2024 includes the discrete effect of a net increase of</w:t>
      </w:r>
    </w:p>
    <w:p>
      <w:pPr>
        <w:spacing w:after="0" w:line="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$35 million and $48 million to the liability for unrecognized tax benefits, which includes interest and offsetting tax benefits, related to transfer pricing matters, withholding taxes and certain tax deductions. This is offset in part by a net decrease of $7 million and $34 million to the liability for unrecognized tax benefits for the three and nine months ended March 29, 2024, which includes interest and offsetting tax benefits, as a result of adjustments to align with IRS calculations.</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March 31, 2023 and the U.S. Federal statutory rate of 21% are the relative mix of earnings and losses by jurisdiction, the deduction for foreign-derived intangible income, credits, and tax holidays in Malaysia, the Philippines and Thailand.</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accrued interest and penalties for the nine months ended March 29, 2024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30, 2023</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decreases related to prior year tax positions</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23"/>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March 29, 2024</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amounts noted above, interest and penalties related to unrecognized tax benefits are recognized in liabilities recorded for uncertain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positions and are recorded in the provision for income taxes. Accrued interest and penalties included in the Company’s liability related to unrecognized</w:t>
      </w:r>
    </w:p>
    <w:p>
      <w:pPr>
        <w:spacing w:after="0" w:line="219" w:lineRule="auto"/>
        <w:rPr>
          <w:sz w:val="20"/>
          <w:szCs w:val="20"/>
          <w:color w:val="auto"/>
        </w:rPr>
      </w:pPr>
      <w:r>
        <w:rPr>
          <w:rFonts w:ascii="Times New Roman" w:cs="Times New Roman" w:eastAsia="Times New Roman" w:hAnsi="Times New Roman"/>
          <w:sz w:val="18"/>
          <w:szCs w:val="18"/>
          <w:color w:val="auto"/>
        </w:rPr>
        <w:t>tax benefits as of March 29, 2024 were $173 million. Of the aggregate unrecognized tax benefits, including interest and penalties, as of March 29, 2024,</w:t>
      </w:r>
    </w:p>
    <w:p>
      <w:pPr>
        <w:spacing w:after="0" w:line="234" w:lineRule="auto"/>
        <w:rPr>
          <w:sz w:val="20"/>
          <w:szCs w:val="20"/>
          <w:color w:val="auto"/>
        </w:rPr>
      </w:pPr>
      <w:r>
        <w:rPr>
          <w:rFonts w:ascii="Times New Roman" w:cs="Times New Roman" w:eastAsia="Times New Roman" w:hAnsi="Times New Roman"/>
          <w:sz w:val="18"/>
          <w:szCs w:val="18"/>
          <w:color w:val="auto"/>
        </w:rPr>
        <w:t>approximately $719 million could result in potential cash payments and the Company believes it is reasonably likely that payments of approximately</w:t>
      </w:r>
    </w:p>
    <w:p>
      <w:pPr>
        <w:spacing w:after="0" w:line="235" w:lineRule="auto"/>
        <w:rPr>
          <w:sz w:val="20"/>
          <w:szCs w:val="20"/>
          <w:color w:val="auto"/>
        </w:rPr>
      </w:pPr>
      <w:r>
        <w:rPr>
          <w:rFonts w:ascii="Times New Roman" w:cs="Times New Roman" w:eastAsia="Times New Roman" w:hAnsi="Times New Roman"/>
          <w:sz w:val="18"/>
          <w:szCs w:val="18"/>
          <w:color w:val="auto"/>
        </w:rPr>
        <w:t>$182 million may be made within the next twelve months and has classified that portion of these unrecognized tax benefits, including interest, in Income</w:t>
      </w:r>
    </w:p>
    <w:p>
      <w:pPr>
        <w:spacing w:after="0" w:line="235" w:lineRule="auto"/>
        <w:rPr>
          <w:sz w:val="20"/>
          <w:szCs w:val="20"/>
          <w:color w:val="auto"/>
        </w:rPr>
      </w:pPr>
      <w:r>
        <w:rPr>
          <w:rFonts w:ascii="Times New Roman" w:cs="Times New Roman" w:eastAsia="Times New Roman" w:hAnsi="Times New Roman"/>
          <w:sz w:val="18"/>
          <w:szCs w:val="18"/>
          <w:color w:val="auto"/>
        </w:rPr>
        <w:t>taxes payable on the Condensed Consolidated Balance Sheets as of March 29, 2024. The remaining payables related to unrecognized tax benefits are</w:t>
      </w:r>
    </w:p>
    <w:p>
      <w:pPr>
        <w:spacing w:after="0"/>
        <w:rPr>
          <w:sz w:val="20"/>
          <w:szCs w:val="20"/>
          <w:color w:val="auto"/>
        </w:rPr>
      </w:pPr>
      <w:r>
        <w:rPr>
          <w:rFonts w:ascii="Times New Roman" w:cs="Times New Roman" w:eastAsia="Times New Roman" w:hAnsi="Times New Roman"/>
          <w:sz w:val="18"/>
          <w:szCs w:val="18"/>
          <w:color w:val="auto"/>
        </w:rPr>
        <w:t>included in Other liabilities on the Condensed Consolidated Balance Sheets as of March 29, 2024.</w:t>
      </w:r>
    </w:p>
    <w:p>
      <w:pPr>
        <w:spacing w:after="0" w:line="219"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The Company had previously reached a final agreement with the IRS regarding notices of deficiency with respect to years 2008 through 2012 and in February 2024, also reached a final agreement for resolving the notices of proposed adjustments with respect to years 2013 through 2015. During the nine months ended March 29, 2024, the Company made payments of $363 million for tax and $160 million for interest with respect to years 2008 through 2012 and recorded adjustments to align with IRS calculations, resulting in a remaining liability of $182 million as of March 29, 2024 related to all years from 2008 through 2015. The Company expects to pay any remaining balance with respect to this matter within the next twelve months.</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settlements for the years 2008 through 2015, the Company expects to realize reductions to its mandatory deemed repatriation tax obligations and tax savings from interest deductions in future years aggregating to approximately $164 million. Of this amount, $34 million of the interest savings from the interest paid with respect to years 2008 through 2012 is classified as a deferred tax asset due to interest expense limitation rules.</w:t>
      </w:r>
    </w:p>
    <w:p>
      <w:pPr>
        <w:spacing w:after="0" w:line="203"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March 29, 2024, with the exception of the IRS matter discussed above,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72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10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220" w:type="dxa"/>
            <w:vAlign w:val="bottom"/>
          </w:tcPr>
          <w:p>
            <w:pPr>
              <w:spacing w:after="0"/>
              <w:rPr>
                <w:sz w:val="16"/>
                <w:szCs w:val="16"/>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5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cumulative dividends on Preferred Stock</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52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Less: income attributable to participating securities</w:t>
            </w:r>
            <w:r>
              <w:rPr>
                <w:rFonts w:ascii="Times New Roman" w:cs="Times New Roman" w:eastAsia="Times New Roman" w:hAnsi="Times New Roman"/>
                <w:sz w:val="21"/>
                <w:szCs w:val="21"/>
                <w:color w:val="auto"/>
                <w:vertAlign w:val="superscript"/>
              </w:rPr>
              <w:t>(1)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52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1040" w:type="dxa"/>
            <w:vAlign w:val="bottom"/>
            <w:tcBorders>
              <w:top w:val="single" w:sz="8" w:color="auto"/>
              <w:bottom w:val="single" w:sz="8" w:color="auto"/>
            </w:tcBorders>
          </w:tcPr>
          <w:p>
            <w:pPr>
              <w:jc w:val="right"/>
              <w:ind w:right="863"/>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(881)</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(984)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6"/>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RSUs, PSUs, ESPP, and the convertible notes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0.35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potential common shares excluded</w:t>
            </w:r>
          </w:p>
        </w:tc>
        <w:tc>
          <w:tcPr>
            <w:tcW w:w="10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-1812925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-1812925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-1812925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9340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24" w:lineRule="exact"/>
        <w:rPr>
          <w:sz w:val="20"/>
          <w:szCs w:val="20"/>
          <w:color w:val="auto"/>
        </w:rPr>
      </w:pPr>
    </w:p>
    <w:p>
      <w:pPr>
        <w:ind w:left="340" w:right="60" w:hanging="332"/>
        <w:spacing w:after="0" w:line="229" w:lineRule="auto"/>
        <w:tabs>
          <w:tab w:leader="none" w:pos="37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Preferred Stock represents participating securities because they participate in any dividends on shares of common stock on a pari passu, pro rata basis. Preferred Stock does not participate in undistributed net losses.</w:t>
      </w:r>
    </w:p>
    <w:p>
      <w:pPr>
        <w:spacing w:after="0" w:line="212" w:lineRule="exact"/>
        <w:rPr>
          <w:sz w:val="20"/>
          <w:szCs w:val="20"/>
          <w:color w:val="auto"/>
        </w:rPr>
      </w:pPr>
    </w:p>
    <w:p>
      <w:pPr>
        <w:ind w:right="120" w:firstLine="324"/>
        <w:spacing w:after="0" w:line="241" w:lineRule="auto"/>
        <w:rPr>
          <w:sz w:val="20"/>
          <w:szCs w:val="20"/>
          <w:color w:val="auto"/>
        </w:rPr>
      </w:pPr>
      <w:r>
        <w:rPr>
          <w:rFonts w:ascii="Times New Roman" w:cs="Times New Roman" w:eastAsia="Times New Roman" w:hAnsi="Times New Roman"/>
          <w:sz w:val="18"/>
          <w:szCs w:val="18"/>
          <w:color w:val="auto"/>
        </w:rPr>
        <w:t>Basic net income (loss) per share attributable to common shareholders is computed using (i) net income (loss) less (ii) dividends paid to holders of Preferred Shares less (iii) net income (loss) attributable to participating securities divided by (iv) weighted average basic shares outstanding. Diluted net income or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convertible notes and the Preferred Shares. The treasury stock method is used to determine the dilutive impact of unvested equity awards.</w:t>
      </w:r>
    </w:p>
    <w:p>
      <w:pPr>
        <w:spacing w:after="0" w:line="211" w:lineRule="exact"/>
        <w:rPr>
          <w:sz w:val="20"/>
          <w:szCs w:val="20"/>
          <w:color w:val="auto"/>
        </w:rPr>
      </w:pPr>
    </w:p>
    <w:p>
      <w:pPr>
        <w:ind w:right="80" w:firstLine="324"/>
        <w:spacing w:after="0" w:line="238"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employee stock options, RSUs and PSUs, rights to purchase shares of common stock under the Company’s ESPP, shares issuable in connection with the Company’s convertible notes, and the Preferred Shares. For the three months ended March 29, 2024, all common shares subject to outstanding equity awards are included in the calculation of diluted shares based on the Company’s average stock price during the period. For the three months ended March 31, 2023 and the nine months ended March 29, 2024 and March 31, 2023, the Company recorded a net loss, and all shares subject to outstanding equity awards were excluded from the calculation of diluted shares for those periods because their impact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5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In this regard, in the nine months ended March 29, 2024, the Company reassessed existing capacity development plans and made a decision to cancel certain projects, including projects to expand capacity in its Penang, Malaysia facility, resulting in the impairment of existing construction in progress, other assets and the recognition of a liability for certain contract termination costs. The Company has also taken actions to reduce the amount of capital invested in facilities, including the sale-leaseback of its facility in Milpitas, California in September 2023. The Company recorded the following net charges related to these actions for the periods noted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1100" w:type="dxa"/>
            <w:vAlign w:val="bottom"/>
          </w:tcPr>
          <w:p>
            <w:pPr>
              <w:jc w:val="right"/>
              <w:ind w:right="4"/>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1"/>
                <w:szCs w:val="11"/>
                <w:color w:val="auto"/>
              </w:rPr>
            </w:pPr>
          </w:p>
        </w:tc>
        <w:tc>
          <w:tcPr>
            <w:tcW w:w="1180" w:type="dxa"/>
            <w:vAlign w:val="bottom"/>
          </w:tcPr>
          <w:p>
            <w:pPr>
              <w:jc w:val="right"/>
              <w:ind w:right="32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220" w:type="dxa"/>
            <w:vAlign w:val="bottom"/>
          </w:tcPr>
          <w:p>
            <w:pPr>
              <w:spacing w:after="0"/>
              <w:rPr>
                <w:sz w:val="16"/>
                <w:szCs w:val="16"/>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5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termination and other</w:t>
            </w: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center"/>
              <w:ind w:left="722"/>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impairments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9"/>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sale-leaseback of facility</w:t>
            </w:r>
          </w:p>
        </w:tc>
        <w:tc>
          <w:tcPr>
            <w:tcW w:w="1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2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employee termination, asset impairment, and other charges</w:t>
            </w:r>
          </w:p>
        </w:tc>
        <w:tc>
          <w:tcPr>
            <w:tcW w:w="110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9"/>
              </w:rPr>
              <w:t>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-864870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-864870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an analysis of the components of these activities against the reserve during the nine months ended March 29,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30, 2023</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9"/>
              </w:rPr>
              <w:t>75</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at March 29, 2024</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9"/>
              </w:rPr>
              <w:t>28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Supplier Finance Program</w:t>
      </w:r>
    </w:p>
    <w:p>
      <w:pPr>
        <w:spacing w:after="0" w:line="256"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spacing w:after="0" w:line="193"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The Company’s current payment terms with its suppliers under these programs generally range from 60 to 90 days and payment terms that the Company negotiates with its suppliers are not impacted by whether a supplier participates in the program. The Company does not provide any guarantees to any third parties and no assets are pledged in connection with the arrangements.</w:t>
      </w:r>
    </w:p>
    <w:p>
      <w:pPr>
        <w:spacing w:after="0" w:line="197"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Company’s outstanding payment obligations to vendors eligible to participate under its supplier finance program were $37 million and $38 million as of March 29, 2024 and June 30, 2023, respectively, and are included within Accounts payable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80" w:right="262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41"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disclosures regarding the status of statutory notices of deficiency issued by the IRS with regard to tax years 2008 through 2015, see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Revision of Previously Issued Financial Statements</w:t>
      </w:r>
    </w:p>
    <w:p>
      <w:pPr>
        <w:spacing w:after="0" w:line="243" w:lineRule="exact"/>
        <w:rPr>
          <w:sz w:val="20"/>
          <w:szCs w:val="20"/>
          <w:color w:val="auto"/>
        </w:rPr>
      </w:pPr>
    </w:p>
    <w:p>
      <w:pPr>
        <w:ind w:right="80" w:firstLine="324"/>
        <w:spacing w:after="0" w:line="241" w:lineRule="auto"/>
        <w:rPr>
          <w:sz w:val="20"/>
          <w:szCs w:val="20"/>
          <w:color w:val="auto"/>
        </w:rPr>
      </w:pPr>
      <w:r>
        <w:rPr>
          <w:rFonts w:ascii="Times New Roman" w:cs="Times New Roman" w:eastAsia="Times New Roman" w:hAnsi="Times New Roman"/>
          <w:sz w:val="18"/>
          <w:szCs w:val="18"/>
          <w:color w:val="auto"/>
        </w:rPr>
        <w:t>As described in Note 1, in connection with the preparation of its Condensed Consolidated Financial Statements as of and for the three and six months ended December 29, 2023, the Company identified certain errors related to the Company’s reporting and recording of its interests in its equity method investments in Flash Ventures. These errors related to unadjusted differences between the Flash Ventures’ application of Japanese generally accepted accounting principles to certain lease-related transactions compared to the applicable U.S. generally accepted accounting principles. These unadjusted differences resulted in differences in the equity in earnings from these entities recognized by the Company in Other income (expense), net and the carrying value of the Company’s equity method investments in Flash Ventures.</w:t>
      </w:r>
    </w:p>
    <w:p>
      <w:pPr>
        <w:spacing w:after="0" w:line="211" w:lineRule="exact"/>
        <w:rPr>
          <w:sz w:val="20"/>
          <w:szCs w:val="20"/>
          <w:color w:val="auto"/>
        </w:rPr>
      </w:pPr>
    </w:p>
    <w:p>
      <w:pPr>
        <w:ind w:right="600"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tables provide a summary of the revisions made to the Company’s Condensed Consolidated Financial Statements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6"/>
          </w:tcPr>
          <w:p>
            <w:pPr>
              <w:jc w:val="center"/>
              <w:ind w:left="801"/>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6"/>
          </w:tcPr>
          <w:p>
            <w:pPr>
              <w:jc w:val="center"/>
              <w:ind w:left="801"/>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2"/>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3"/>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5"/>
        </w:trPr>
        <w:tc>
          <w:tcPr>
            <w:tcW w:w="6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8"/>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Nine Months Ended March 31, 2023</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8"/>
          </w:tcPr>
          <w:p>
            <w:pPr>
              <w:jc w:val="center"/>
              <w:ind w:left="801"/>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13"/>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67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2"/>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2"/>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3"/>
        </w:trPr>
        <w:tc>
          <w:tcPr>
            <w:tcW w:w="67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5"/>
        </w:trPr>
        <w:tc>
          <w:tcPr>
            <w:tcW w:w="67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544"/>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8"/>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Loss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3"/>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3"/>
        </w:trPr>
        <w:tc>
          <w:tcPr>
            <w:tcW w:w="67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3"/>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pension loss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7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7"/>
        </w:trPr>
        <w:tc>
          <w:tcPr>
            <w:tcW w:w="67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income, before tax</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5"/>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8"/>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rPr>
              <w:t>Nine Months Ended March 31, 2023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Loss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0"/>
        </w:trPr>
        <w:tc>
          <w:tcPr>
            <w:tcW w:w="67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3"/>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pension loss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7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07"/>
        </w:trPr>
        <w:tc>
          <w:tcPr>
            <w:tcW w:w="67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9"/>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income, before tax</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34"/>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jc w:val="center"/>
              <w:ind w:left="842"/>
              <w:spacing w:after="0"/>
              <w:rPr>
                <w:sz w:val="20"/>
                <w:szCs w:val="20"/>
                <w:color w:val="auto"/>
              </w:rPr>
            </w:pPr>
            <w:r>
              <w:rPr>
                <w:rFonts w:ascii="Times New Roman" w:cs="Times New Roman" w:eastAsia="Times New Roman" w:hAnsi="Times New Roman"/>
                <w:sz w:val="14"/>
                <w:szCs w:val="14"/>
                <w:b w:val="1"/>
                <w:bCs w:val="1"/>
                <w:color w:val="auto"/>
              </w:rPr>
              <w:t>Nine Months Ended March 31, 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tc>
        <w:tc>
          <w:tcPr>
            <w:tcW w:w="180" w:type="dxa"/>
            <w:vAlign w:val="bottom"/>
          </w:tcPr>
          <w:p>
            <w:pPr>
              <w:spacing w:after="0"/>
              <w:rPr>
                <w:sz w:val="11"/>
                <w:szCs w:val="11"/>
                <w:color w:val="auto"/>
              </w:rPr>
            </w:pPr>
          </w:p>
        </w:tc>
        <w:tc>
          <w:tcPr>
            <w:tcW w:w="1300" w:type="dxa"/>
            <w:vAlign w:val="bottom"/>
          </w:tcPr>
          <w:p>
            <w:pPr>
              <w:jc w:val="center"/>
              <w:ind w:right="182"/>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260" w:type="dxa"/>
            <w:vAlign w:val="bottom"/>
            <w:vMerge w:val="restart"/>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Pr>
          <w:p>
            <w:pPr>
              <w:spacing w:after="0"/>
              <w:rPr>
                <w:sz w:val="11"/>
                <w:szCs w:val="11"/>
                <w:color w:val="auto"/>
              </w:rPr>
            </w:pPr>
          </w:p>
        </w:tc>
        <w:tc>
          <w:tcPr>
            <w:tcW w:w="110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0"/>
        </w:trPr>
        <w:tc>
          <w:tcPr>
            <w:tcW w:w="6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(991)</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non-cash operating activities, net</w:t>
            </w:r>
          </w:p>
        </w:tc>
        <w:tc>
          <w:tcPr>
            <w:tcW w:w="180" w:type="dxa"/>
            <w:vAlign w:val="bottom"/>
          </w:tcPr>
          <w:p>
            <w:pPr>
              <w:spacing w:after="0"/>
              <w:rPr>
                <w:sz w:val="18"/>
                <w:szCs w:val="18"/>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(340)</w:t>
            </w:r>
          </w:p>
        </w:tc>
        <w:tc>
          <w:tcPr>
            <w:tcW w:w="28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505"/>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tc>
        <w:tc>
          <w:tcPr>
            <w:tcW w:w="180" w:type="dxa"/>
            <w:vAlign w:val="bottom"/>
          </w:tcPr>
          <w:p>
            <w:pPr>
              <w:spacing w:after="0"/>
              <w:rPr>
                <w:sz w:val="24"/>
                <w:szCs w:val="24"/>
                <w:color w:val="auto"/>
              </w:rPr>
            </w:pPr>
          </w:p>
        </w:tc>
        <w:tc>
          <w:tcPr>
            <w:tcW w:w="130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24"/>
                <w:szCs w:val="24"/>
                <w:color w:val="auto"/>
              </w:rPr>
            </w:pPr>
          </w:p>
        </w:tc>
        <w:tc>
          <w:tcPr>
            <w:tcW w:w="1260" w:type="dxa"/>
            <w:vAlign w:val="bottom"/>
            <w:vMerge w:val="restart"/>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Pr>
          <w:p>
            <w:pPr>
              <w:spacing w:after="0"/>
              <w:rPr>
                <w:sz w:val="24"/>
                <w:szCs w:val="24"/>
                <w:color w:val="auto"/>
              </w:rPr>
            </w:pPr>
          </w:p>
        </w:tc>
        <w:tc>
          <w:tcPr>
            <w:tcW w:w="110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 as of March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8,139</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143</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as of March 31, 2023</w:t>
            </w:r>
          </w:p>
        </w:tc>
        <w:tc>
          <w:tcPr>
            <w:tcW w:w="18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(362)</w:t>
            </w:r>
          </w:p>
        </w:tc>
        <w:tc>
          <w:tcPr>
            <w:tcW w:w="2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for the three months ended March 31, 2023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320" w:firstLine="324"/>
        <w:spacing w:after="0" w:line="220" w:lineRule="exact"/>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June 30, 2023. See also “Forward-Looking Statements” immediately prior to Part I, Item 1 in this Quarterly Report on Form 10-Q.</w:t>
      </w:r>
    </w:p>
    <w:p>
      <w:pPr>
        <w:spacing w:after="0" w:line="22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3" w:lineRule="exact"/>
        <w:rPr>
          <w:sz w:val="20"/>
          <w:szCs w:val="20"/>
          <w:color w:val="auto"/>
        </w:rPr>
      </w:pPr>
    </w:p>
    <w:p>
      <w:pPr>
        <w:ind w:right="200" w:firstLine="324"/>
        <w:spacing w:after="0" w:line="242" w:lineRule="auto"/>
        <w:rPr>
          <w:sz w:val="20"/>
          <w:szCs w:val="20"/>
          <w:color w:val="auto"/>
        </w:rPr>
      </w:pPr>
      <w:r>
        <w:rPr>
          <w:rFonts w:ascii="Times New Roman" w:cs="Times New Roman" w:eastAsia="Times New Roman" w:hAnsi="Times New Roman"/>
          <w:sz w:val="18"/>
          <w:szCs w:val="18"/>
          <w:color w:val="auto"/>
        </w:rPr>
        <w:t>We are on a mission to unlock the potential of data by harnessing the possibility to use it. We are a leading developer, manufacturer, and provider of data storage devices based on both NAND flash and hard disk drive technologies. With dedicated flash-based products (“Flash”) and hard disk drives (“HDD”) business units driving advancements in storage technologies, our broad and ever-expanding portfolio delivers powerful Flash and HDD storage solutions for everyone from students, gamers, and home offices to the largest enterprises and public clouds to capture, preserve, access, and transform an ever-increasing diversity of data.</w:t>
      </w:r>
    </w:p>
    <w:p>
      <w:pPr>
        <w:spacing w:after="0" w:line="212"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color w:val="auto"/>
        </w:rPr>
        <w:t>Our broad portfolio of technology and products address our multiple end markets: “Cloud”, “Client” and “Consumer”. Cloud represents a large and growing end market comprised primarily of products for public or private cloud environments and enterprise customers. Through the Client end market, we provide our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2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2024, which will end on June 28, 2024, and fiscal year 2023, which ended on June 30, 2023, are each comprised of 52 weeks, with all quarters presented consisting of 13 weeks.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Separation of Business Units</w:t>
      </w:r>
    </w:p>
    <w:p>
      <w:pPr>
        <w:spacing w:after="0" w:line="227"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On October 30, 2023, we announced that our Board of Directors had completed its strategic review of our business and, after evaluating a comprehensive range of alternatives, authorized us to pursue a plan to separate our HDD and Flash business units to create two independent, public companies. We believe the separation will better position each business unit to execute innovative technology and product development, capitalize on unique growth opportunities, extend respective leadership positions, and operate more efficiently with distinct capital structures. The completion of the planned separation is subject to certain conditions, including final approval by our Board of Directors. Significant effort is underway towards completion of the separation of the businesses and we are targeting to complete the separation in the second half of calendar year 2024.</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Operational Update</w:t>
      </w:r>
    </w:p>
    <w:p>
      <w:pPr>
        <w:spacing w:after="0" w:line="227"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In recent quarters, macroeconomic factors such as inflation, higher interest rates and recession concerns had softened demand for our products, with certain customers reducing purchases as they adjusted their production levels and right-size their inventories. As a result, we and our industry experienced a supply-demand imbalance, which resulted in reduced shipments and negatively impacted pricing, particularly in Flash. To adapt to these conditions, we implemented measures to reduce operating expenses and to proactively manage supply and inventory to align with demand and improve our capital efficiency, while continuing to deploy innovative products. These actions have enabled us to scale back on capital expenditures, consolidate production lines and reduce production bit growth since the beginning of 2023 in order to better align with market demand. These actions resulted in incremental charges for employee termination, asset impairment and other, and manufacturing underutilization charges in Flash and HDD. In the current quarter, we began to see signs of a recovery in supply-demand balance. We believe digital transformation will continue to drive improved market conditions in the near term and long-term growth for data storage in both Flash and HDD.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will continue to actively monitor developments impacting our business and may take additional responsive actions that we determine to be in the best interest of our business and stakeholders.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for the year ended June 30, 2023 and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for the three months ended September 29, 2023 and our Quarterly Report on Form 10-Q for the three months ended</w:t>
      </w:r>
    </w:p>
    <w:p>
      <w:pPr>
        <w:spacing w:after="0"/>
        <w:rPr>
          <w:sz w:val="20"/>
          <w:szCs w:val="20"/>
          <w:color w:val="auto"/>
        </w:rPr>
      </w:pPr>
      <w:r>
        <w:rPr>
          <w:rFonts w:ascii="Times New Roman" w:cs="Times New Roman" w:eastAsia="Times New Roman" w:hAnsi="Times New Roman"/>
          <w:sz w:val="18"/>
          <w:szCs w:val="18"/>
          <w:color w:val="auto"/>
        </w:rPr>
        <w:t>December 29, 2023 for more information regarding the risks we face as a result of macroeconomic conditions and supply chain disruptions.</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Agreement to Sell a Majority Interest in a Subsidiary</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7"/>
          <w:szCs w:val="17"/>
          <w:color w:val="auto"/>
        </w:rPr>
        <w:t>In March 2024, our wholly-owned subsidiary, SanDisk China Limited (“SanDisk China”) entered into an Equity Purchase Agreement to sell 80% of its equity interest in SanDisk Semiconductor (Shanghai) Co. Ltd. (“SDSS”), our indirect wholly-owned subsidiary to JCET Management Co., Ltd. (“JCET”), a wholly-owned subsidiary of JCET Group Co., Ltd., a Chinese publicly listed company, thereby forming a joint venture between SanDisk China and JCET (the “Transaction”). Closing of the transaction is subject to the satisfaction or waiver of certain conditions, after which, JCET will own 80% of the equity interest in SDSS, with SanDisk China owning the remaining 20%. Following the Closing, we expect to enter into various ancillary agreements, including</w:t>
      </w:r>
    </w:p>
    <w:p>
      <w:pPr>
        <w:spacing w:after="0" w:line="2" w:lineRule="exact"/>
        <w:rPr>
          <w:sz w:val="20"/>
          <w:szCs w:val="20"/>
          <w:color w:val="auto"/>
        </w:rPr>
      </w:pPr>
    </w:p>
    <w:p>
      <w:pPr>
        <w:ind w:right="20" w:firstLine="8"/>
        <w:spacing w:after="0" w:line="239"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agreement governing the joint venture relationships from and after the Closing; (ii) a supply agreement with the joint venture to supply us with certain flash-based products currently produced by SDSS, which may include flash memory cards, embedded flash products, and flash components; and (iii) an intellectual property license agreement granting SDSS certain intellectual property rights on a royalty-free basis for use in manufacturing products on our behalf for the term of and pursuant to the Supply Agreement</w:t>
      </w:r>
      <w:r>
        <w:rPr>
          <w:rFonts w:ascii="Times New Roman" w:cs="Times New Roman" w:eastAsia="Times New Roman" w:hAnsi="Times New Roman"/>
          <w:sz w:val="21"/>
          <w:szCs w:val="21"/>
          <w:color w:val="008080"/>
        </w:rPr>
        <w:t>.</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1" w:lineRule="exact"/>
        <w:rPr>
          <w:sz w:val="20"/>
          <w:szCs w:val="20"/>
          <w:color w:val="auto"/>
        </w:rPr>
      </w:pPr>
    </w:p>
    <w:p>
      <w:pPr>
        <w:ind w:right="100" w:firstLine="324"/>
        <w:spacing w:after="0" w:line="239" w:lineRule="auto"/>
        <w:rPr>
          <w:sz w:val="20"/>
          <w:szCs w:val="20"/>
          <w:color w:val="auto"/>
        </w:rPr>
      </w:pPr>
      <w:r>
        <w:rPr>
          <w:rFonts w:ascii="Times New Roman" w:cs="Times New Roman" w:eastAsia="Times New Roman" w:hAnsi="Times New Roman"/>
          <w:sz w:val="18"/>
          <w:szCs w:val="18"/>
          <w:color w:val="auto"/>
        </w:rPr>
        <w:t>In August 2023, we drew $600 million principal amount (the “Delayed Draw Term Loan”) under a loan agreement we entered into in January 2023 and amended in June 2023, which allowed us to draw a single loan of up to $600 million through August 14, 2023. Proceeds from this loan were primarily used for payments on our tax liability to the Internal Revenue Service (“IRS”) for the years 2008 through 2012. During the nine months ended March 29, 2024, we repaid $300 million of the principal amount of the Delayed Draw Term Loan. The remaining outstanding borrowings on this loan will mature on June 28, 2024.</w:t>
      </w:r>
    </w:p>
    <w:p>
      <w:pPr>
        <w:spacing w:after="0" w:line="211" w:lineRule="exact"/>
        <w:rPr>
          <w:sz w:val="20"/>
          <w:szCs w:val="20"/>
          <w:color w:val="auto"/>
        </w:rPr>
      </w:pPr>
    </w:p>
    <w:p>
      <w:pPr>
        <w:ind w:right="60" w:firstLine="324"/>
        <w:spacing w:after="0" w:line="238" w:lineRule="auto"/>
        <w:rPr>
          <w:sz w:val="20"/>
          <w:szCs w:val="20"/>
          <w:color w:val="auto"/>
        </w:rPr>
      </w:pPr>
      <w:r>
        <w:rPr>
          <w:rFonts w:ascii="Times New Roman" w:cs="Times New Roman" w:eastAsia="Times New Roman" w:hAnsi="Times New Roman"/>
          <w:sz w:val="18"/>
          <w:szCs w:val="18"/>
          <w:color w:val="auto"/>
        </w:rPr>
        <w:t>On November 3, 2023, we issued $1.60 billion aggregate principal amount of convertible senior notes, which bear interest at an annual rate of 3.00% and mature on November 15, 2028, unless earlier repurchased, redeemed or converted (the “2028 Convertible Notes”). We received net proceeds of approximately $1.56 billion after issuance costs. Contemporaneously with the issuance of the 2028 Convertible Notes, we entered into individually negotiated transactions with certain holders of our existing 1.50% convertible senior notes due February 1, 2024 (the “2024 Convertible Notes”) to repurchase approximately $508 million aggregate principal amount of such notes at an immaterial discount using net proceeds from the offering of the 2028 Convertible Notes. In connection with the issuance of the 2028 Convertible Notes, we also used approximately $155 million of the net proceeds from the offering to pay the cost of entering into capped call contracts with a cap price of approximately $70.26 to hedge the potential dilution impact of the conversion feature. On February 1, 2024, we used a portion of the remaining net proceeds from the offering of the 2028 Convertible Notes to settle the remaining 2024 Convertible Notes in accordance with their original terms for an aggregate cash principal payment of $592 million plus interest.</w:t>
      </w:r>
    </w:p>
    <w:p>
      <w:pPr>
        <w:spacing w:after="0" w:line="20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29, 2024, we drew and repaid $300 million principal amount under our $2.25 billion revolving credit facility maturing in January 2027.</w:t>
      </w:r>
    </w:p>
    <w:p>
      <w:pPr>
        <w:spacing w:after="0" w:line="189"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 xml:space="preserve">Additional information regarding our indebtedness, including the principal repayment terms, interest rates, covenants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in our Annual Report on Form 10-K for the fiscal year ended June 30, 2023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included in Part I, Item 1 of this Quarterly Report on Form 10-Q.</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Sale-Leaseback</w:t>
      </w:r>
    </w:p>
    <w:p>
      <w:pPr>
        <w:spacing w:after="0" w:line="2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we completed a sale and leaseback of our facility in Milpitas, California. We received net proceeds of $191 million in cash and recorded a gain of $85 million on the sale. We are leasing back the facility at an annual lease rate of $16 million for the first year, increasing by 3% per year thereafter through January 1, 2039. The lease includes three 5-year renewal options and one 4-year renewal option for the ability to extend through December 2057.</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Asset Impairment and Contract Termination Costs</w:t>
      </w:r>
    </w:p>
    <w:p>
      <w:pPr>
        <w:spacing w:after="0" w:line="239"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In connection with the actions described in “</w:t>
      </w:r>
      <w:r>
        <w:rPr>
          <w:rFonts w:ascii="Times New Roman" w:cs="Times New Roman" w:eastAsia="Times New Roman" w:hAnsi="Times New Roman"/>
          <w:sz w:val="18"/>
          <w:szCs w:val="18"/>
          <w:i w:val="1"/>
          <w:iCs w:val="1"/>
          <w:color w:val="auto"/>
        </w:rPr>
        <w:t>Operational Update</w:t>
      </w:r>
      <w:r>
        <w:rPr>
          <w:rFonts w:ascii="Times New Roman" w:cs="Times New Roman" w:eastAsia="Times New Roman" w:hAnsi="Times New Roman"/>
          <w:sz w:val="18"/>
          <w:szCs w:val="18"/>
          <w:color w:val="auto"/>
        </w:rPr>
        <w:t>” above, we reassessed our existing capacity development plans and made a decision in the first quarter of 2024 to cancel certain projects, including projects to expand capacity in our Penang, Malaysia facility. This resulted in a $94 million impairment of existing construction in progress and other assets and recognition of $29 million for certain contract termination costs during the nine months ended March 29, 2024.</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 Resolution</w:t>
      </w:r>
    </w:p>
    <w:p>
      <w:pPr>
        <w:spacing w:after="0" w:line="24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 xml:space="preserve">As previously disclosed, we had previously reached a final agreement with the IRS and received notices of deficiency with respect to years 2008 through 2012 and in February 2024, also reached a final agreement for resolving the notices of proposed adjustments with respect to years 2013 through 2015. During the nine months ended March 29, 2024, we made payments aggregating $523 million for tax and interest with respect to years 2008 through 2012 and have a remaining liability of $182 million as of March 29, 2024 related to all years from 2008 through 2015. We expect to pay any remaining balance with respect to this matter within the next twelve months. Additional information regarding these settlements and our assessment of the potential tax and interest payments we expect to pay in connection with the settlements is provided in our discussion of Income tax expense in our “Results of Operations” below, as well as in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and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“Short- and Long-term Liquidity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Unrecognized Tax Benefits</w:t>
      </w:r>
      <w:r>
        <w:rPr>
          <w:rFonts w:ascii="Times New Roman" w:cs="Times New Roman" w:eastAsia="Times New Roman" w:hAnsi="Times New Roman"/>
          <w:sz w:val="18"/>
          <w:szCs w:val="18"/>
          <w:color w:val="auto"/>
        </w:rPr>
        <w:t>” section below.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Third Quarter and Nine Month Overview</w:t>
      </w:r>
    </w:p>
    <w:p>
      <w:pPr>
        <w:spacing w:after="0" w:line="254"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8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71.0</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4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89.8</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0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29.0</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715</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2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14.3</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4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48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21.1</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104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48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48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2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745</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4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8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48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48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706</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48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48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w:t>
            </w:r>
          </w:p>
        </w:tc>
        <w:tc>
          <w:tcPr>
            <w:tcW w:w="2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706</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Less: income attributable to preferred shareholders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5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3.3 %</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693</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54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left="281"/>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82.8</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81.4</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(204)</w:t>
            </w:r>
          </w:p>
        </w:tc>
        <w:tc>
          <w:tcPr>
            <w:tcW w:w="10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17.2</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(203)</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(182)</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4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(131)</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25.2</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(305)</w:t>
            </w:r>
          </w:p>
        </w:tc>
        <w:tc>
          <w:tcPr>
            <w:tcW w:w="104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48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480" w:type="dxa"/>
            <w:vAlign w:val="bottom"/>
          </w:tcPr>
          <w:p>
            <w:pPr>
              <w:spacing w:after="0"/>
              <w:rPr>
                <w:sz w:val="17"/>
                <w:szCs w:val="17"/>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102</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4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(91)</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27</w:t>
            </w:r>
          </w:p>
        </w:tc>
        <w:tc>
          <w:tcPr>
            <w:tcW w:w="10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(49)</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48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480" w:type="dxa"/>
            <w:vAlign w:val="bottom"/>
          </w:tcPr>
          <w:p>
            <w:pPr>
              <w:spacing w:after="0"/>
              <w:rPr>
                <w:sz w:val="17"/>
                <w:szCs w:val="17"/>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(85)</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48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(9.1)</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480" w:type="dxa"/>
            <w:vAlign w:val="bottom"/>
          </w:tcPr>
          <w:p>
            <w:pPr>
              <w:spacing w:after="0"/>
              <w:rPr>
                <w:sz w:val="17"/>
                <w:szCs w:val="17"/>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138</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Less: income attributable to preferred shareholders</w:t>
            </w:r>
          </w:p>
        </w:tc>
        <w:tc>
          <w:tcPr>
            <w:tcW w:w="26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5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54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a summary of our segment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41"/>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4,926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4,686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4,960</w:t>
            </w:r>
          </w:p>
        </w:tc>
        <w:tc>
          <w:tcPr>
            <w:tcW w:w="0" w:type="dxa"/>
            <w:vAlign w:val="bottom"/>
          </w:tcPr>
          <w:p>
            <w:pPr>
              <w:spacing w:after="0"/>
              <w:rPr>
                <w:sz w:val="1"/>
                <w:szCs w:val="1"/>
                <w:color w:val="auto"/>
              </w:rPr>
            </w:pPr>
          </w:p>
        </w:tc>
      </w:tr>
      <w:tr>
        <w:trPr>
          <w:trHeight w:val="212"/>
        </w:trPr>
        <w:tc>
          <w:tcPr>
            <w:tcW w:w="4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9,239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9,646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40" w:type="dxa"/>
            <w:vAlign w:val="bottom"/>
          </w:tcPr>
          <w:p>
            <w:pPr>
              <w:spacing w:after="0"/>
              <w:rPr>
                <w:sz w:val="18"/>
                <w:szCs w:val="18"/>
                <w:color w:val="auto"/>
              </w:rPr>
            </w:pP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Recovery from contamination incident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1,795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-2527935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-2527935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-2527935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60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21"/>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1"/>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w:t>
            </w: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r>
      <w:tr>
        <w:trPr>
          <w:trHeight w:val="21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w:t>
            </w:r>
          </w:p>
        </w:tc>
      </w:tr>
      <w:tr>
        <w:trPr>
          <w:trHeight w:val="21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Three and Nine Months Ended March 29, 2024 to Three and Nine Months Ended March 31, 2023</w:t>
      </w:r>
    </w:p>
    <w:p>
      <w:pPr>
        <w:spacing w:after="0" w:line="241" w:lineRule="exact"/>
        <w:rPr>
          <w:sz w:val="20"/>
          <w:szCs w:val="20"/>
          <w:color w:val="auto"/>
        </w:rPr>
      </w:pPr>
    </w:p>
    <w:p>
      <w:pPr>
        <w:ind w:right="160" w:firstLine="324"/>
        <w:spacing w:after="0" w:line="251" w:lineRule="auto"/>
        <w:rPr>
          <w:sz w:val="20"/>
          <w:szCs w:val="20"/>
          <w:color w:val="auto"/>
        </w:rPr>
      </w:pPr>
      <w:r>
        <w:rPr>
          <w:rFonts w:ascii="Times New Roman" w:cs="Times New Roman" w:eastAsia="Times New Roman" w:hAnsi="Times New Roman"/>
          <w:sz w:val="18"/>
          <w:szCs w:val="18"/>
          <w:color w:val="auto"/>
        </w:rPr>
        <w:t>The increase in consolidated net revenue for the three months ended March 29, 2024 from the comparable period in the prior year reflected growth in exabytes shipped and a better pricing environment, resulting from a recent improvement in the supply-demand balance as discussed in the “Key</w:t>
      </w:r>
    </w:p>
    <w:p>
      <w:pPr>
        <w:ind w:right="380"/>
        <w:spacing w:after="0" w:line="238" w:lineRule="auto"/>
        <w:rPr>
          <w:sz w:val="20"/>
          <w:szCs w:val="20"/>
          <w:color w:val="auto"/>
        </w:rPr>
      </w:pPr>
      <w:r>
        <w:rPr>
          <w:rFonts w:ascii="Times New Roman" w:cs="Times New Roman" w:eastAsia="Times New Roman" w:hAnsi="Times New Roman"/>
          <w:sz w:val="18"/>
          <w:szCs w:val="18"/>
          <w:color w:val="auto"/>
        </w:rPr>
        <w:t xml:space="preserve">Developments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Operational Update</w:t>
      </w:r>
      <w:r>
        <w:rPr>
          <w:rFonts w:ascii="Times New Roman" w:cs="Times New Roman" w:eastAsia="Times New Roman" w:hAnsi="Times New Roman"/>
          <w:sz w:val="18"/>
          <w:szCs w:val="18"/>
          <w:color w:val="auto"/>
        </w:rPr>
        <w:t>” section above. The decrease in consolidated net revenue for the nine months ended March 29, 2024 from the comparable period in the prior year reflected the impact of the supply-demand imbalance in the first half of the year prior to the recent improvement in supply-demand conditions.</w:t>
      </w:r>
    </w:p>
    <w:p>
      <w:pPr>
        <w:spacing w:after="0" w:line="213"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Flash revenue increased 30% for the three months ended March 29, 2024 from the comparable period in the prior year, reflecting a 20% increase in exabytes sold and a 10% increase in average selling prices per gigabyte. The increase in exabytes sold was due to improved demand from our OEM customers in our Client end market and from products across our Consumer and Cloud end market. The increase in average selling prices per gigabyte was due to improved pricing as we started to see demand stabilizing. Flash revenue increased 5% for the nine months ended March 29, 2024 from the comparable period in the prior year, reflecting a 30% increase in exabytes sold, partially offset by a 19% decline in average selling prices per gigabyte. The increase in exabytes sold was attributable to the same factors described above for the three-month period while the decline in average selling prices per gigabyte for the period was due to the supply-demand imbalance in the first half of the year, prior to the recent improvement in supply-demand conditions, as described above.</w:t>
      </w:r>
    </w:p>
    <w:p>
      <w:pPr>
        <w:spacing w:after="0" w:line="214"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HDD revenue increased 17% for the three months ended March 29, 2024 from the comparable period in the prior year, as a result of a 25% increase in exabytes sold, partially offset by a 6% decline in average selling prices per gigabyte. The increase in exabytes sold reflected an increase in shipments of our high capacity enterprise drives. The decline in average selling prices per gigabyte was due to a shift in the product mix to larger capacity drives. HDD revenue decreased 13% for the nine months ended March 29, 2024 from the comparable period in the prior year, as a result of a 9% decrease in exabytes sold, which was primarily driven by lower shipments to customers in our Cloud end market in the first half of the year as they adjusted their production levels and right-sized their inventories, and a 5% decline in average selling prices per gigabyte primarily attributable to a shift in product mix.</w:t>
      </w:r>
    </w:p>
    <w:p>
      <w:pPr>
        <w:spacing w:after="0" w:line="211" w:lineRule="exact"/>
        <w:rPr>
          <w:sz w:val="20"/>
          <w:szCs w:val="20"/>
          <w:color w:val="auto"/>
        </w:rPr>
      </w:pPr>
    </w:p>
    <w:p>
      <w:pPr>
        <w:ind w:right="160" w:firstLine="324"/>
        <w:spacing w:after="0" w:line="238" w:lineRule="auto"/>
        <w:rPr>
          <w:sz w:val="20"/>
          <w:szCs w:val="20"/>
          <w:color w:val="auto"/>
        </w:rPr>
      </w:pPr>
      <w:r>
        <w:rPr>
          <w:rFonts w:ascii="Times New Roman" w:cs="Times New Roman" w:eastAsia="Times New Roman" w:hAnsi="Times New Roman"/>
          <w:sz w:val="18"/>
          <w:szCs w:val="18"/>
          <w:color w:val="auto"/>
        </w:rPr>
        <w:t>Cloud revenue increased 29% for the three months ended March 29, 2024 from the comparable period in the prior year, reflecting a 35% increase in exabytes sold, partially offset by a 5% decline in average selling prices per gigabyte. The increase in exabytes sold was driven by higher shipments of our high capacity enterprise HDD products. The decline in average selling prices per gigabyte was primarily due to a shift in the product mix to those larger capacity drives. Cloud revenue decreased 18% for the nine months ended March 29, 2024 from the comparable period in the prior year, which reflected a 9% decrease in exabytes sold and a 10% decline in average selling prices per gigabyte attributable to the supply-demand imbalance in the first half of the year as described above.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324"/>
        <w:spacing w:after="0" w:line="228" w:lineRule="auto"/>
        <w:rPr>
          <w:sz w:val="20"/>
          <w:szCs w:val="20"/>
          <w:color w:val="auto"/>
        </w:rPr>
      </w:pPr>
      <w:r>
        <w:rPr>
          <w:rFonts w:ascii="Times New Roman" w:cs="Times New Roman" w:eastAsia="Times New Roman" w:hAnsi="Times New Roman"/>
          <w:sz w:val="18"/>
          <w:szCs w:val="18"/>
          <w:color w:val="auto"/>
        </w:rPr>
        <w:t>Client revenue increased 20% for the three months ended March 29, 2024 from the comparable period in the prior year, reflecting a 24% increase in average selling prices per gigabyte, partially offset by a 3% decrease in exabytes sold. The increase in average selling prices per gigabyte over the prior year period was primarily due to improved pricing in Flash. The decrease in exabytes sold reflected a small lag in recovery in this end market and timing of shipments as many OEMs transition to newer Flash products. Client revenue increased 5% for the nine months ended March 29, 2024 from the comparable period in the prior year, reflecting a 17% increase in exabytes sold, partially offset by an 11% decline in average selling prices per gigabyte. The increase in exabytes sold was primarily driven by an increase in SSD shipments into PC applications and the decline in average selling prices per gigabyte was primarily due to the decline in Flash pricing caused by the supply-demand imbalance in the first half of the year as described above.</w:t>
      </w:r>
    </w:p>
    <w:p>
      <w:pPr>
        <w:spacing w:after="0" w:line="203"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7"/>
          <w:szCs w:val="17"/>
          <w:color w:val="auto"/>
        </w:rPr>
        <w:t>Consumer revenue increased 17% for the three months ended March 29, 2024 from the comparable period in the prior year, reflecting an increase in average selling prices per gigabyte while exabytes sold remained relatively consistent overall with a decrease in HDD bit shipments largely offsetting an increase in flash bit shipments. The increase in average selling prices per gigabyte was driven by improved pricing in Flash and more favorable product mix. Consumer revenue increased 10% for the nine months ended March 29, 2024 from the comparable period in the prior year, reflecting an 8% increase in exabytes sold and a 2% increase in average selling prices per gigabyte. The increase in exabytes sold was primarily driven by improved demand across our products in Flash, partially offset by a decline in HDD shipments. The increase in average selling prices per gigabyte was primarily due to a shift in product mix, partially offset by the decline in Flash pricing caused by the supply-demand imbalance in the first half of the year as described above.</w:t>
      </w:r>
    </w:p>
    <w:p>
      <w:pPr>
        <w:spacing w:after="0" w:line="196"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The allocation of our net revenue by geography for the three months ended March 29, 2024 was relatively consistent with the comparable period in the prior year. The changes in net revenue by geography for nine months ended March 29, 2024 from the comparable period in the prior year reflected higher revenue in the first half of the year from Cloud customers in the Asia region, particularly in China and a decline in the Americas as certain large customers reduced purchases to align their inventories with current market demand.</w:t>
      </w:r>
    </w:p>
    <w:p>
      <w:pPr>
        <w:spacing w:after="0" w:line="221"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top 10 customers accounted for 42% of our net revenue for the three months ended March 29, 2024, compared to 49% of our net revenue for the three months ended March 31, 2023. Our top 10 customers accounted for 38% of our net revenue for the nine months ended March 29, 2024, compared to 45% of our net revenue for the nine months ended March 31, 2023. For each of the three and nine months ended March 29, 2024 and March 31, 2023, no single customer accounted for 10% or more of our net revenue.</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These programs represented 13% and 17% of gross revenue for the three and nine months ended March 29, 2024, respectively.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gross profit increased by $715 million for the three months ended March 29, 2024 from the comparable period in the prior year, which</w:t>
      </w:r>
    </w:p>
    <w:p>
      <w:pPr>
        <w:spacing w:after="0" w:line="237" w:lineRule="auto"/>
        <w:rPr>
          <w:sz w:val="20"/>
          <w:szCs w:val="20"/>
          <w:color w:val="auto"/>
        </w:rPr>
      </w:pPr>
      <w:r>
        <w:rPr>
          <w:rFonts w:ascii="Times New Roman" w:cs="Times New Roman" w:eastAsia="Times New Roman" w:hAnsi="Times New Roman"/>
          <w:sz w:val="18"/>
          <w:szCs w:val="18"/>
          <w:color w:val="auto"/>
        </w:rPr>
        <w:t>primarily reflected better pricing in Flash as well as lower charges for unabsorbed manufacturing overhead costs in the current period of approximately</w:t>
      </w:r>
    </w:p>
    <w:p>
      <w:pPr>
        <w:spacing w:after="0" w:line="234" w:lineRule="auto"/>
        <w:rPr>
          <w:sz w:val="20"/>
          <w:szCs w:val="20"/>
          <w:color w:val="auto"/>
        </w:rPr>
      </w:pPr>
      <w:r>
        <w:rPr>
          <w:rFonts w:ascii="Times New Roman" w:cs="Times New Roman" w:eastAsia="Times New Roman" w:hAnsi="Times New Roman"/>
          <w:sz w:val="18"/>
          <w:szCs w:val="18"/>
          <w:color w:val="auto"/>
        </w:rPr>
        <w:t>$16 million, all in HDD, as a result of the reduced utilization of our manufacturing capacity, compared to $275 million of such charges in the same period</w:t>
      </w:r>
    </w:p>
    <w:p>
      <w:pPr>
        <w:spacing w:after="0" w:line="235" w:lineRule="auto"/>
        <w:rPr>
          <w:sz w:val="20"/>
          <w:szCs w:val="20"/>
          <w:color w:val="auto"/>
        </w:rPr>
      </w:pPr>
      <w:r>
        <w:rPr>
          <w:rFonts w:ascii="Times New Roman" w:cs="Times New Roman" w:eastAsia="Times New Roman" w:hAnsi="Times New Roman"/>
          <w:sz w:val="18"/>
          <w:szCs w:val="18"/>
          <w:color w:val="auto"/>
        </w:rPr>
        <w:t>in the prior year ($213 million in Flash and $62 million in HDD). Consolidated gross margin increased 19 percentage points year over year, with</w:t>
      </w:r>
    </w:p>
    <w:p>
      <w:pPr>
        <w:spacing w:after="0" w:line="235" w:lineRule="auto"/>
        <w:rPr>
          <w:sz w:val="20"/>
          <w:szCs w:val="20"/>
          <w:color w:val="auto"/>
        </w:rPr>
      </w:pPr>
      <w:r>
        <w:rPr>
          <w:rFonts w:ascii="Times New Roman" w:cs="Times New Roman" w:eastAsia="Times New Roman" w:hAnsi="Times New Roman"/>
          <w:sz w:val="18"/>
          <w:szCs w:val="18"/>
          <w:color w:val="auto"/>
        </w:rPr>
        <w:t>approximately 9 percentage points of the increase due to the lower underutilization charges in the current period and the remainder driven by better pricing</w:t>
      </w:r>
    </w:p>
    <w:p>
      <w:pPr>
        <w:spacing w:after="0" w:line="235" w:lineRule="auto"/>
        <w:rPr>
          <w:sz w:val="20"/>
          <w:szCs w:val="20"/>
          <w:color w:val="auto"/>
        </w:rPr>
      </w:pPr>
      <w:r>
        <w:rPr>
          <w:rFonts w:ascii="Times New Roman" w:cs="Times New Roman" w:eastAsia="Times New Roman" w:hAnsi="Times New Roman"/>
          <w:sz w:val="18"/>
          <w:szCs w:val="18"/>
          <w:color w:val="auto"/>
        </w:rPr>
        <w:t>in Flash as noted above. Flash gross margin increased by approximately 32 percentage points year over year, with approximately 16 percentage points of</w:t>
      </w:r>
    </w:p>
    <w:p>
      <w:pPr>
        <w:spacing w:after="0" w:line="235" w:lineRule="auto"/>
        <w:rPr>
          <w:sz w:val="20"/>
          <w:szCs w:val="20"/>
          <w:color w:val="auto"/>
        </w:rPr>
      </w:pPr>
      <w:r>
        <w:rPr>
          <w:rFonts w:ascii="Times New Roman" w:cs="Times New Roman" w:eastAsia="Times New Roman" w:hAnsi="Times New Roman"/>
          <w:sz w:val="18"/>
          <w:szCs w:val="18"/>
          <w:color w:val="auto"/>
        </w:rPr>
        <w:t>the increase due to the lower underutilization charges in the current period as noted above and the remainder driven by the higher average selling prices per</w:t>
      </w:r>
    </w:p>
    <w:p>
      <w:pPr>
        <w:spacing w:after="0" w:line="234" w:lineRule="auto"/>
        <w:rPr>
          <w:sz w:val="20"/>
          <w:szCs w:val="20"/>
          <w:color w:val="auto"/>
        </w:rPr>
      </w:pPr>
      <w:r>
        <w:rPr>
          <w:rFonts w:ascii="Times New Roman" w:cs="Times New Roman" w:eastAsia="Times New Roman" w:hAnsi="Times New Roman"/>
          <w:sz w:val="18"/>
          <w:szCs w:val="18"/>
          <w:color w:val="auto"/>
        </w:rPr>
        <w:t>gigabyte. HDD gross margin increased by 7 percentage points year over year, with approximately 3 percentage points of the increase due to the lower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underutilization charges in the current period as noted above and the remainder driven by better product mix.</w:t>
      </w:r>
    </w:p>
    <w:p>
      <w:pPr>
        <w:spacing w:after="0" w:line="23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Consolidated gross profit decreased by $203 million for the nine months ended March 29, 2024 from the comparable period in the prior year, which was primarily driven by the decline in pricing, particularly in Flash as mentioned above. Consolidated gross margin remained flat for the nine months ended March 29, 2024 from the comparable period in the prior year. Flash gross margin decreased by approximately 4 percentage points year over year, primarily driven by the lower average selling prices per gigabyte. HDD gross margin increased by 2 percentage point year over year, primarily driven by better product mix.</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41"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Research and development (“R&amp;D”) expense increased $18 million for the three months ended March 29, 2024 from the comparable period in the prior year. The increase was primarily driven by a $26 million increase in compensation and benefits due to higher variable compensation, partially offset by lower headcount, and a $9 million decrease due to reductions in R&amp;D project spending. R&amp;D expense decreased $182 million for the nine months ended March 29, 2024 from the comparable period in the prior year. The decline was primarily driven by an $88 million decrease in compensation and benefits due to lower headcount, partially offset by higher variable compensation, a $94 million decrease due to lower depreciation expenses and reductions in R&amp;D project spending as well as other savings as we took actions to reduce expenses in the current environment.</w:t>
      </w:r>
    </w:p>
    <w:p>
      <w:pPr>
        <w:spacing w:after="0" w:line="21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 decreased $39 million for the three months ended March 29, 2024 from the comparable period in the prior year. The decline was primarily driven by a $39 million decrease in intangible amortization expense, as certain assets became fully amortized, and a $15 million decrease in strategic review costs, partially offset by an $18 million increase in compensation and benefits due to higher variable compensation. SG&amp;A expense decreased $131 million for the nine months ended March 29, 2024 from the comparable period in the prior year. The decline was primarily driven by a $116 million decrease in intangible amortization expense, a $19 million decrease in compensation and benefits due to lower headcount, and a $13 million decrease in sales and marketing expenses, partially offset by a $22 million increase in strategic review costs and a $12 million increase in material purchases.</w:t>
      </w:r>
    </w:p>
    <w:p>
      <w:pPr>
        <w:spacing w:after="0" w:line="216"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 xml:space="preserve">Employee termination, asset impairment and other charges decreased $32 million for the three months ended March 29, 2024 from the comparable period in the prior year, reflecting fewer restructuring actions taken in the current period. Employee termination, asset impairment and other charges decreased $51 million for the nine months ended March 29, 2024 from the comparable period in the prior year. The decrease primarily reflected fewer restructuring actions taken and a gain on the sale-leaseback of our Milpitas, California facility, partially offset by higher contract termination charges and asset impairments caused by project cancellations. For information regarding Employee termination, asset impairment and other, see Part I, Item 1, Note 14, </w:t>
      </w:r>
      <w:r>
        <w:rPr>
          <w:rFonts w:ascii="Times New Roman" w:cs="Times New Roman" w:eastAsia="Times New Roman" w:hAnsi="Times New Roman"/>
          <w:sz w:val="18"/>
          <w:szCs w:val="18"/>
          <w:i w:val="1"/>
          <w:iCs w:val="1"/>
          <w:color w:val="auto"/>
        </w:rPr>
        <w:t>Employee Termination, Asset Impairment, and Other</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2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Business separation costs were $23 million for the three months ended March 29, 2024, primarily reflecting outside service fees to support the planned separation of our Flash and HDD businesses. Business separation costs were $59 million for the nine months ended March 29, 2024 primarily reflecting the charges similar to those noted for the three months ended March 29, 2024, as well as $33 million of charges incurred earlier in the year for stamp duties associated with establishing new legal entities to support the planned separation of our Flash and HDD businesses.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Expense</w:t>
      </w:r>
    </w:p>
    <w:p>
      <w:pPr>
        <w:spacing w:after="0" w:line="241"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7"/>
          <w:szCs w:val="17"/>
          <w:color w:val="auto"/>
        </w:rPr>
        <w:t>Total interest and other expense, net increased $39 million for the three months ended March 29, 2024 from the comparable period in the prior year, primarily reflecting $28 million of higher interest expense resulting from increases in interest rates and a higher outstanding debt balance. Total interest and other expense, net increased $49 million for the nine months ended March 29, 2024 from the comparable period in the prior year, primarily reflecting $91</w:t>
      </w:r>
    </w:p>
    <w:p>
      <w:pPr>
        <w:spacing w:after="0" w:line="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million of higher interest expense resulting from increases in interest rates and the higher outstanding debt balance, partially offset by higher other income, net, of $27 million, driven primarily by a net gain on our strategic investments, and $15 million of higher interest income due to higher interest rates.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19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legal changes related to tax, climate, energy, and health care. The tax measures include, among other things, a corporate alternative minimum tax (“CAMT”) of 15% on corporations with three-year average annual adjusted financial statement income (“AFSI”) exceeding $1.0 billion. The CAMT is effective for us beginning with fiscal year 2024. We are not subject to the CAMT of 15% for fiscal year 2024 as our annual average AFSI did not exceed $1.0 billion for the preceding three-year period.</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Condensed Consolidated Statements of Operations by dollar and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600" w:type="dxa"/>
            <w:vAlign w:val="bottom"/>
            <w:gridSpan w:val="3"/>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ind w:right="324"/>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Pr>
          <w:p>
            <w:pPr>
              <w:spacing w:after="0"/>
              <w:rPr>
                <w:sz w:val="11"/>
                <w:szCs w:val="11"/>
                <w:color w:val="auto"/>
              </w:rPr>
            </w:pPr>
          </w:p>
        </w:tc>
        <w:tc>
          <w:tcPr>
            <w:tcW w:w="1180" w:type="dxa"/>
            <w:vAlign w:val="bottom"/>
          </w:tcPr>
          <w:p>
            <w:pPr>
              <w:jc w:val="right"/>
              <w:ind w:right="32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jc w:val="right"/>
              <w:ind w:right="324"/>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Pr>
          <w:p>
            <w:pPr>
              <w:spacing w:after="0"/>
              <w:rPr>
                <w:sz w:val="11"/>
                <w:szCs w:val="11"/>
                <w:color w:val="auto"/>
              </w:rPr>
            </w:pPr>
          </w:p>
        </w:tc>
        <w:tc>
          <w:tcPr>
            <w:tcW w:w="1180" w:type="dxa"/>
            <w:vAlign w:val="bottom"/>
          </w:tcPr>
          <w:p>
            <w:pPr>
              <w:jc w:val="right"/>
              <w:ind w:right="323"/>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178</w:t>
            </w: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(763)</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(816)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43</w:t>
            </w:r>
          </w:p>
        </w:tc>
        <w:tc>
          <w:tcPr>
            <w:tcW w:w="36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74</w:t>
            </w:r>
          </w:p>
        </w:tc>
        <w:tc>
          <w:tcPr>
            <w:tcW w:w="360" w:type="dxa"/>
            <w:vAlign w:val="bottom"/>
          </w:tcPr>
          <w:p>
            <w:pPr>
              <w:spacing w:after="0"/>
              <w:rPr>
                <w:sz w:val="18"/>
                <w:szCs w:val="18"/>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-556895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-556895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-556895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Beginning in 2023, the 2017 Act has required us to capitalize and amortize R&amp;D expenses rather than expensing them in the year incurred. The tax effects related to the capitalization of R&amp;D expenses are included in the effective tax rate for the three and nine months ended March 29, 2024, and March 31, 2023, but did not have a material impact on our effective tax rate. The primary drivers of the difference between the effective tax rate for the three and nine months ended March 29, 2024 and the U.S. Federal statutory rate of 21% are the relative mix of earnings and losses by jurisdiction, the deduction for foreign-derived intangible income, credits, and tax holidays in Malaysia, the Philippines and Thailand that have or will expire at various dates during fiscal years 2024 through 2031. On November 1, 2023, one of our tax holidays in Malaysia expired. We have applied for an extension and anticipate it will apply retroactively and begin on November 2, 2023. Because the exact terms of the extension are not currently known, we are applying the Malaysia corporate statutory tax rate on the expired tax holiday income. If a retroactive extension is granted, we will make an adjustment to our effective tax rate in that period. The effective tax rate for the three and nine months ended March 29, 2024 includes the discrete effect of a net increase of $35 million and $48 million, respectively, to the liability for unrecognized tax benefits, which includes interest and offsetting tax benefits, related to transfer pricing matters, withholding taxes and certain tax deductions. This is offset in part by a net decrease of $7 million and $34 million, respectively, to the liability for unrecognized tax benefits for the three and nine months ended March 29, 2024, which includes interest and offsetting tax benefits, as a result of adjustments to align with IRS calculations.</w:t>
      </w:r>
    </w:p>
    <w:p>
      <w:pPr>
        <w:spacing w:after="0" w:line="23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March 31, 2023 and the U.S. Federal statutory rate of 21% were the relative mix of earnings and losses by jurisdiction, the deduction for foreign derived intangible income, credits, and tax holidays in Malaysia, the Philippines and Thailand.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Our future effective tax rate is subject to future regulatory developments and changes in the mix of our U.S. earnings compared to foreign earnings. The 2017 Act requires us to capitalize and amortize R&amp;D expenses rather than expensing them in the year incurred. As described above, these capitalized expenses are included in our effective tax rate for the three and nine months ended March 29, 2024, but did not have a material impact on the effective tax rate in those periods due to our reduced profitability. Mandatory capitalization of R&amp;D is expected to materially increase our effective tax rate and taxes paid in future periods, if not repealed or otherwise modified. In addition, our total tax expense in future years may also vary as a result of discrete items such as excess tax benefits or deficiencies.</w:t>
      </w:r>
    </w:p>
    <w:p>
      <w:pPr>
        <w:spacing w:after="0" w:line="211"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see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1"/>
                <w:szCs w:val="11"/>
                <w:color w:val="auto"/>
              </w:rPr>
            </w:pPr>
          </w:p>
        </w:tc>
      </w:tr>
      <w:tr>
        <w:trPr>
          <w:trHeight w:val="195"/>
        </w:trPr>
        <w:tc>
          <w:tcPr>
            <w:tcW w:w="8260" w:type="dxa"/>
            <w:vAlign w:val="bottom"/>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195"/>
        </w:trPr>
        <w:tc>
          <w:tcPr>
            <w:tcW w:w="8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3"/>
          </w:tcPr>
          <w:p>
            <w:pPr>
              <w:jc w:val="right"/>
              <w:ind w:right="6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(660)</w:t>
            </w:r>
          </w:p>
        </w:tc>
        <w:tc>
          <w:tcPr>
            <w:tcW w:w="100" w:type="dxa"/>
            <w:vAlign w:val="bottom"/>
          </w:tcPr>
          <w:p>
            <w:pPr>
              <w:spacing w:after="0"/>
              <w:rPr>
                <w:sz w:val="18"/>
                <w:szCs w:val="18"/>
                <w:color w:val="auto"/>
              </w:rPr>
            </w:pP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(340)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(620)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(129)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(107)</w:t>
            </w:r>
          </w:p>
        </w:tc>
      </w:tr>
      <w:tr>
        <w:trPr>
          <w:trHeight w:val="21"/>
        </w:trPr>
        <w:tc>
          <w:tcPr>
            <w:tcW w:w="8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80" w:firstLine="324"/>
        <w:spacing w:after="0" w:line="239" w:lineRule="auto"/>
        <w:rPr>
          <w:sz w:val="20"/>
          <w:szCs w:val="20"/>
          <w:color w:val="auto"/>
        </w:rPr>
      </w:pPr>
      <w:r>
        <w:rPr>
          <w:rFonts w:ascii="Times New Roman" w:cs="Times New Roman" w:eastAsia="Times New Roman" w:hAnsi="Times New Roman"/>
          <w:sz w:val="18"/>
          <w:szCs w:val="18"/>
          <w:color w:val="auto"/>
        </w:rPr>
        <w:t>We had previously reached a final agreement with the IRS and received notices of deficiency with respect to years 2008 through 2012 and in February 2024, also reached a final agreement for resolving the notices of proposed adjustments with respect to years 2013 through 2015. During the nine months ended March 29, 2024, the Company made payments of $363 million for tax and $160 million for interest with respect to years 2008 through 2012 and recorded adjustments to align with IRS calculations, resulting in a remaining liability of $182 million as of March 29, 2024, related to all years from 2008 through 2015. The Company expects to pay any remaining balance with respect to this matter within the next twelve months.</w:t>
      </w:r>
    </w:p>
    <w:p>
      <w:pPr>
        <w:spacing w:after="0" w:line="211"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 xml:space="preserve">In connection with settlements for the years 2008 through 2015, we expect to realize reductions to our mandatory deemed repatriation tax obligations and tax savings from interest deductions in future years aggregating to $164 million. Of this amount, $34 million of interest savings from the interest paid with respect to years 2008 through 2012 is classified as a deferred tax asset due to interest expense limitation rules. See Part I, Item 1, Note 12,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of the Notes to Condensed Consolidated Financial Statements included in this Quarterly Report on Form 10-Q for further details.</w:t>
      </w:r>
    </w:p>
    <w:p>
      <w:pPr>
        <w:spacing w:after="0" w:line="2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an existing shelf registration statement (the “Shelf Registration Statement”) filed with the Securities and Exchange Commission that expires in August 2024, which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97"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As noted previously, we have been scaling back on capital expenditures, consolidating production lines and reducing bit growth to align with market demand. We reduced our expenditures for property, plant and equipment for our company plus our portion of the capital expenditures by our Flash Ventures joint venture with Kioxia for its operations to approximately $1.4 billion in 2023 from approximately $1.5 billion in 2022. After consideration of the Flash Ventures’ lease financing of its capital expenditures and net operating cash flow, we reduced our net cash used for our purchases of property, plant and equipment and net activity in notes receivable relating to Flash Ventures to $793 million in 2023 from $1.2 billion in 2022. We currently expect the capital expenditures for 2024 to be less than 2023.</w:t>
      </w:r>
    </w:p>
    <w:p>
      <w:pPr>
        <w:spacing w:after="0" w:line="251" w:lineRule="exact"/>
        <w:rPr>
          <w:sz w:val="20"/>
          <w:szCs w:val="20"/>
          <w:color w:val="auto"/>
        </w:rPr>
      </w:pPr>
    </w:p>
    <w:p>
      <w:pPr>
        <w:ind w:right="160" w:firstLine="324"/>
        <w:spacing w:after="0" w:line="278" w:lineRule="auto"/>
        <w:rPr>
          <w:sz w:val="20"/>
          <w:szCs w:val="20"/>
          <w:color w:val="auto"/>
        </w:rPr>
      </w:pPr>
      <w:r>
        <w:rPr>
          <w:rFonts w:ascii="Times New Roman" w:cs="Times New Roman" w:eastAsia="Times New Roman" w:hAnsi="Times New Roman"/>
          <w:sz w:val="17"/>
          <w:szCs w:val="17"/>
          <w:color w:val="auto"/>
        </w:rPr>
        <w:t>We believe our Cash and cash equivalents and our available revolving credit facility will be sufficient to meet our working capital, debt and capital expenditure needs for at least the next twelve months and for the foreseeable future thereafter. We believe we can also access the various debt capital markets to further supplement our liquidity position if necessary. Our ability to sustain our working capital position is subject to a number of risks that we</w:t>
      </w:r>
    </w:p>
    <w:p>
      <w:pPr>
        <w:spacing w:after="0" w:line="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discuss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and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in our Annual Report on Form 10-K for the year ended June 30, 2023.</w:t>
      </w:r>
    </w:p>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 total of $1.51 billion and $1.28 billion of our Cash and cash equivalents was held by our foreign subsidiaries as of March 29, 2024 and June 30, 2023, respectively. There are no material tax consequences that have not been accrued for on the repatriation of this cash.</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Net cash provided by or used in operating activities primarily consists of net income or loss, adjusted for non-cash charges, plus or minus changes in operating assets and liabilities. Net cash used for changes in operating assets and liabilities was $405 million for the nine months ended March 29, 2024, as compared to $296 million for the nine months ended March 31, 2023, which largely reflects payments made on the IRS matter, partially offset by a decrease in net operating assets and liabilities resulting from the reduction in volume of our business, as discussed above. Changes in our operating assets and liabilities are largely affected by our working capital requirements, which are dependent on our volume of business and the effective management of our cash conversion cycle as well as the timing of payments for taxes. During the nine months ended March 29, 2024, the change in operating assets and</w:t>
      </w:r>
    </w:p>
    <w:p>
      <w:pPr>
        <w:spacing w:after="0" w:line="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 xml:space="preserve">liabilities included payments to the IRS of $523 million, including interest, as discussed in “Short- and Long-term Liquidity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Unrecognized Tax Benefits</w:t>
      </w:r>
      <w:r>
        <w:rPr>
          <w:rFonts w:ascii="Times New Roman" w:cs="Times New Roman" w:eastAsia="Times New Roman" w:hAnsi="Times New Roman"/>
          <w:sz w:val="18"/>
          <w:szCs w:val="18"/>
          <w:color w:val="auto"/>
        </w:rPr>
        <w:t>” section below. Our cash conversion cycle measures how quickly we can convert our products into cash through sales. The cash conversion cycles were as follows (in days):</w:t>
      </w:r>
    </w:p>
    <w:p>
      <w:pPr>
        <w:spacing w:after="0" w:line="2"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60" w:type="dxa"/>
            <w:vAlign w:val="bottom"/>
          </w:tcPr>
          <w:p>
            <w:pPr>
              <w:spacing w:after="0"/>
              <w:rPr>
                <w:sz w:val="13"/>
                <w:szCs w:val="13"/>
                <w:color w:val="auto"/>
              </w:rPr>
            </w:pPr>
          </w:p>
        </w:tc>
        <w:tc>
          <w:tcPr>
            <w:tcW w:w="1080" w:type="dxa"/>
            <w:vAlign w:val="bottom"/>
            <w:tcBorders>
              <w:top w:val="single" w:sz="8" w:color="auto"/>
            </w:tcBorders>
          </w:tcPr>
          <w:p>
            <w:pPr>
              <w:ind w:left="420"/>
              <w:spacing w:after="0" w:line="15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22"/>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9340" w:type="dxa"/>
            <w:vAlign w:val="bottom"/>
            <w:gridSpan w:val="2"/>
          </w:tcPr>
          <w:p>
            <w:pPr>
              <w:ind w:left="88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 outstanding</w:t>
            </w: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2"/>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
        </w:trPr>
        <w:tc>
          <w:tcPr>
            <w:tcW w:w="8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(“DSO”) are generally due to the timing of shipments. Changes in days in inventory (“DIO”) are generally related to the timing of inventory builds, including staging of inventory to meet expected future demand. Changes in days payable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payment term modifications through negotiations with our vendors or by granting to, or receiving from, our vendors’ payment term accommodations.</w:t>
      </w:r>
    </w:p>
    <w:p>
      <w:pPr>
        <w:spacing w:after="0" w:line="197"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For the three months ended March 29, 2024, DSO decreased by 5 days from the comparable period in the prior year, primarily reflecting the timing of shipments and customer collections. DIO decreased by 25 days from the comparable period in the prior year, primarily reflecting lower inventory cycle time, which reduces the inventory levels needed to meet customer orders, and an increase in products shipped. DPO increased by 6 days from the comparable period in the prior year primarily due to routine variations in the timing of purchases and payments during the period as well as slightly more favorable payment terms.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March 29, 2024 primarily consisted of $207 million in net proceeds from activity related to Flash Ventures, partially offset by $176 million in capital expenditures, net of proceeds from disposals of assets, which includes the proceeds from the sale-leaseback of our Milpitas, California facility. Net cash used in investing activities for the nine months ended March 31, 2023 primarily consisted of $688 million in capital expenditures, partially offset by $46 million in net proceeds from activity related to Flash Ventures.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1" w:lineRule="exact"/>
        <w:rPr>
          <w:sz w:val="20"/>
          <w:szCs w:val="20"/>
          <w:color w:val="auto"/>
        </w:rPr>
      </w:pPr>
    </w:p>
    <w:p>
      <w:pPr>
        <w:ind w:right="80" w:firstLine="324"/>
        <w:spacing w:after="0"/>
        <w:rPr>
          <w:sz w:val="20"/>
          <w:szCs w:val="20"/>
          <w:color w:val="auto"/>
        </w:rPr>
      </w:pPr>
      <w:r>
        <w:rPr>
          <w:rFonts w:ascii="Times New Roman" w:cs="Times New Roman" w:eastAsia="Times New Roman" w:hAnsi="Times New Roman"/>
          <w:sz w:val="18"/>
          <w:szCs w:val="18"/>
          <w:color w:val="auto"/>
        </w:rPr>
        <w:t>During the nine months ended March 29, 2024, net cash provided by financing activities primarily consisted of $2.50 billion in proceeds from the issuance of the 2028 Convertible Notes, the drawdown of the Delayed Draw Term Loan and draws on the revolving credit facility. These sources were partially offset by $505 million used to repurchase a portion of the 2024 Convertible Notes; $1.27 billion used for the repayment of draws on the revolving credit facility, payments on the Delayed Draw Term Loan, scheduled payments on the Term Loan A-2, and settlement of the remaining 2024 Convertible Notes; and $155 million for the purchase of capped calls to hedge the potential dilution impact of the conversion feature of the 2028 Convertible Notes. During the nine months ended March 31, 2023, cash flows from financing activities primarily consisted of proceeds of $882 million from the issuance of our convertible preferred stock. In addition, we drew and repaid $1.18 billion under our revolving credit facility within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than the commitments related to Flash Ventures incurred in the normal course of business and certain indemnification provisions (see “Short-</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and Long-term Liquidity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Obligations and Other Commitments</w:t>
      </w:r>
      <w:r>
        <w:rPr>
          <w:rFonts w:ascii="Times New Roman" w:cs="Times New Roman" w:eastAsia="Times New Roman" w:hAnsi="Times New Roman"/>
          <w:sz w:val="18"/>
          <w:szCs w:val="18"/>
          <w:color w:val="auto"/>
        </w:rPr>
        <w:t xml:space="preserve">”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41" w:lineRule="exact"/>
        <w:rPr>
          <w:sz w:val="20"/>
          <w:szCs w:val="20"/>
          <w:color w:val="auto"/>
        </w:rPr>
      </w:pPr>
    </w:p>
    <w:p>
      <w:pPr>
        <w:ind w:right="300" w:firstLine="324"/>
        <w:spacing w:after="0" w:line="262" w:lineRule="auto"/>
        <w:rPr>
          <w:sz w:val="20"/>
          <w:szCs w:val="20"/>
          <w:color w:val="auto"/>
        </w:rPr>
      </w:pPr>
      <w:r>
        <w:rPr>
          <w:rFonts w:ascii="Times New Roman" w:cs="Times New Roman" w:eastAsia="Times New Roman" w:hAnsi="Times New Roman"/>
          <w:sz w:val="18"/>
          <w:szCs w:val="18"/>
          <w:color w:val="auto"/>
        </w:rPr>
        <w:t>In addition to cash requirements for unrecognized tax benefits and dividend rights with respect to the Series A Preferred Stock discussed below, the following is a summary of our known material cash requirements, including those for capital expenditures, as of March 29, 2024:</w:t>
      </w: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1 Year (Remaining</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2-3 Years (2025-</w:t>
            </w:r>
          </w:p>
        </w:tc>
        <w:tc>
          <w:tcPr>
            <w:tcW w:w="12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 (2027-</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3"/>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(Beyond 2028)</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2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5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-1224915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-1224915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-1224915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-1224915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issuance costs.</w:t>
      </w:r>
    </w:p>
    <w:p>
      <w:pPr>
        <w:spacing w:after="0" w:line="1" w:lineRule="exact"/>
        <w:rPr>
          <w:rFonts w:ascii="Times New Roman" w:cs="Times New Roman" w:eastAsia="Times New Roman" w:hAnsi="Times New Roman"/>
          <w:sz w:val="23"/>
          <w:szCs w:val="23"/>
          <w:color w:val="auto"/>
          <w:vertAlign w:val="superscript"/>
        </w:rPr>
      </w:pPr>
    </w:p>
    <w:p>
      <w:pPr>
        <w:ind w:left="340" w:right="460" w:hanging="332"/>
        <w:spacing w:after="0" w:line="228"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41" w:lineRule="exact"/>
        <w:rPr>
          <w:sz w:val="20"/>
          <w:szCs w:val="20"/>
          <w:color w:val="auto"/>
        </w:rPr>
      </w:pPr>
    </w:p>
    <w:p>
      <w:pPr>
        <w:ind w:right="100" w:firstLine="324"/>
        <w:spacing w:after="0" w:line="232" w:lineRule="auto"/>
        <w:rPr>
          <w:sz w:val="20"/>
          <w:szCs w:val="20"/>
          <w:color w:val="auto"/>
        </w:rPr>
      </w:pPr>
      <w:r>
        <w:rPr>
          <w:rFonts w:ascii="Times New Roman" w:cs="Times New Roman" w:eastAsia="Times New Roman" w:hAnsi="Times New Roman"/>
          <w:sz w:val="18"/>
          <w:szCs w:val="18"/>
          <w:color w:val="auto"/>
        </w:rPr>
        <w:t xml:space="preserve">On January 31, 2023, we issued an aggregate of 900,000 shares of Series A Preferred Stock for an aggregate purchase price of $900 million. These shares are entitled to cumulative preferred dividends. See Part II, Item 8, Note 13, </w:t>
      </w:r>
      <w:r>
        <w:rPr>
          <w:rFonts w:ascii="Times New Roman" w:cs="Times New Roman" w:eastAsia="Times New Roman" w:hAnsi="Times New Roman"/>
          <w:sz w:val="18"/>
          <w:szCs w:val="18"/>
          <w:i w:val="1"/>
          <w:iCs w:val="1"/>
          <w:color w:val="auto"/>
        </w:rPr>
        <w:t>Shareholders’ Equity and Convertible Preferred Stock,</w:t>
      </w:r>
      <w:r>
        <w:rPr>
          <w:rFonts w:ascii="Times New Roman" w:cs="Times New Roman" w:eastAsia="Times New Roman" w:hAnsi="Times New Roman"/>
          <w:sz w:val="18"/>
          <w:szCs w:val="18"/>
          <w:color w:val="auto"/>
        </w:rPr>
        <w:t xml:space="preserve"> of the Notes to the Consolidated Financial Statements in our Annual Report on Form 10-K for the year ended June 30, 2023 and Part I, Item 1, Note 11,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and Convertible Preferred Stock</w:t>
      </w:r>
      <w:r>
        <w:rPr>
          <w:rFonts w:ascii="Times New Roman" w:cs="Times New Roman" w:eastAsia="Times New Roman" w:hAnsi="Times New Roman"/>
          <w:sz w:val="18"/>
          <w:szCs w:val="18"/>
          <w:color w:val="auto"/>
        </w:rPr>
        <w:t>, of the Notes to Condensed Consolidated Financial Statements included in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information regarding the dividend provisions.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45" w:lineRule="exact"/>
        <w:rPr>
          <w:sz w:val="20"/>
          <w:szCs w:val="20"/>
          <w:color w:val="auto"/>
        </w:rPr>
      </w:pPr>
    </w:p>
    <w:p>
      <w:pPr>
        <w:jc w:val="both"/>
        <w:ind w:right="280" w:firstLine="324"/>
        <w:spacing w:after="0" w:line="250" w:lineRule="auto"/>
        <w:rPr>
          <w:sz w:val="20"/>
          <w:szCs w:val="20"/>
          <w:color w:val="auto"/>
        </w:rPr>
      </w:pPr>
      <w:r>
        <w:rPr>
          <w:rFonts w:ascii="Times New Roman" w:cs="Times New Roman" w:eastAsia="Times New Roman" w:hAnsi="Times New Roman"/>
          <w:sz w:val="18"/>
          <w:szCs w:val="18"/>
          <w:color w:val="auto"/>
        </w:rPr>
        <w:t xml:space="preserve">As described in “Key Developments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above, we undertook several liability-management actions during the second and third quarters of 2024, including the issuance of the 2028 Convertible Notes, the repurchase and/or settlement of our remaining outstanding 2024 Convertible Notes and the partial repayment of the Delayed Term Loan.</w:t>
      </w:r>
    </w:p>
    <w:p>
      <w:pPr>
        <w:spacing w:after="0" w:line="20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7"/>
          <w:szCs w:val="17"/>
          <w:color w:val="auto"/>
        </w:rPr>
        <w:t>The 2028 Convertible Notes are convertible at the option of any holder at an initial conversion price of approximately $52.20 per share of common stock beginning August 15, 2028. Prior to that date, if the trading price of our common stock remains above 130% of the conversion price for at least 20 trading days (whether or not consecutive) during the 30 consecutive trading-day period prior to the end of a quarter, holders of the 2028 Convertible Notes would have the right to convert the 2028 Convertible Notes during the next succeeding calendar quarter. The 2028 Convertible Notes are also convertible prior to that date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 xml:space="preserve">In addition to our existing debt, as of March 29, 2024, we had $2.24 billion available for borrowing under our revolving credit facility until January 2027,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Additional information regarding our indebtedness, including information about availability under our revolving credit facility and the principal repayment terms, interest rates, covenants, collateral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the Consolidated Financial Statements included in our Annual Report on Form 10-K for the year ended June 30, 2023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included in Part I, Item 1 of this Quarterly Report on Form 10-Q.</w:t>
      </w:r>
    </w:p>
    <w:p>
      <w:pPr>
        <w:spacing w:after="0" w:line="214" w:lineRule="exact"/>
        <w:rPr>
          <w:sz w:val="20"/>
          <w:szCs w:val="20"/>
          <w:color w:val="auto"/>
        </w:rPr>
      </w:pPr>
    </w:p>
    <w:p>
      <w:pPr>
        <w:ind w:right="520" w:firstLine="324"/>
        <w:spacing w:after="0" w:line="250" w:lineRule="auto"/>
        <w:rPr>
          <w:sz w:val="20"/>
          <w:szCs w:val="20"/>
          <w:color w:val="auto"/>
        </w:rPr>
      </w:pPr>
      <w:r>
        <w:rPr>
          <w:rFonts w:ascii="Times New Roman" w:cs="Times New Roman" w:eastAsia="Times New Roman" w:hAnsi="Times New Roman"/>
          <w:sz w:val="18"/>
          <w:szCs w:val="18"/>
          <w:color w:val="auto"/>
        </w:rPr>
        <w:t>The loan agreements governing our revolving credit facility, our Term Loan A-2 maturing 2027, and our Delayed Draw Term Loan require us to comply with certain financial covenants, consisting of a leverage ratio, and a minimum liquidity requirement. As of March 29, 2024, we were in compliance with these financial covenants.</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March 29, 2024, we were in compliance with all covenants under these Japanese lease facilities.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 for information regarding Flash Ventures.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estimated mandatory deemed repatriation tax obligations that are payable in the following years: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5"/>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4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jc w:val="right"/>
              <w:ind w:right="9359"/>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3"/>
        </w:trPr>
        <w:tc>
          <w:tcPr>
            <w:tcW w:w="9800" w:type="dxa"/>
            <w:vAlign w:val="bottom"/>
            <w:tcBorders>
              <w:bottom w:val="single" w:sz="8" w:color="CCEEFF"/>
            </w:tcBorders>
          </w:tcPr>
          <w:p>
            <w:pPr>
              <w:jc w:val="right"/>
              <w:ind w:right="9359"/>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37"/>
        </w:trPr>
        <w:tc>
          <w:tcPr>
            <w:tcW w:w="9800" w:type="dxa"/>
            <w:vAlign w:val="bottom"/>
            <w:tcBorders>
              <w:bottom w:val="single" w:sz="8" w:color="CCEEFF"/>
            </w:tcBorders>
            <w:shd w:val="clear" w:color="auto" w:fill="CCEEFF"/>
          </w:tcPr>
          <w:p>
            <w:pPr>
              <w:jc w:val="right"/>
              <w:ind w:right="9239"/>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54"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As of March 29, 2024, the liability for unrecognized tax benefits (excluding accrued interest and penalties) was $708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March 29, 2024 was $173 million. Of these amounts, approximately $719 million could result in potential cash payments.</w:t>
      </w:r>
    </w:p>
    <w:p>
      <w:pPr>
        <w:spacing w:after="0" w:line="193"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As noted above, we had previously reached a final agreement with the IRS regarding notices of deficiency with respect to years 2008 through 2012 and in February 2024, also reached a final agreement for resolving the notices of proposed adjustments with respect to years 2013 through 2015. During the nine months ended March 29, 2024, we made payments of $363 million for tax and $160 million for interest with respect to years 2008 through 2012 and recorded adjustments to align with IRS calculations, resulting in a remaining liability of $182 million as of March 29, 2024 related to all years from 2008 through 2015. We expect to pay any remaining balance with respect to this matter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In connection with settlements for the years 2008 through 2015, we expect to realize reductions to our mandatory deemed repatriation tax obligations and tax savings from interest deductions in future years aggregating to approximately $164 million. Of this amount, $34 million of interest savings from the interest paid with respect to years 2008 through 2012 is classified as a deferred tax asset due to interest expense limitation rules.</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Research and Development Expense Capitalization</w:t>
      </w:r>
    </w:p>
    <w:p>
      <w:pPr>
        <w:spacing w:after="0" w:line="24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Since the beginning of 2023, the 2017 Act has required us to capitalize and amortize R&amp;D expenses rather than expensing them in the year incurred, which is expected to result in materially higher cash tax payments in future profitable periods, if not repealed or otherwise modified.</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 </w:t>
      </w:r>
      <w:r>
        <w:rPr>
          <w:rFonts w:ascii="Times New Roman" w:cs="Times New Roman" w:eastAsia="Times New Roman" w:hAnsi="Times New Roman"/>
          <w:sz w:val="18"/>
          <w:szCs w:val="18"/>
          <w:color w:val="auto"/>
        </w:rPr>
        <w:t>included in this Quarterly Report on Form 10-Q for additional information.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0" w:lineRule="exact"/>
        <w:rPr>
          <w:sz w:val="20"/>
          <w:szCs w:val="20"/>
          <w:color w:val="auto"/>
        </w:rPr>
      </w:pPr>
    </w:p>
    <w:p>
      <w:pPr>
        <w:ind w:right="40" w:firstLine="324"/>
        <w:spacing w:after="0" w:line="236"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30, 2023. Please refer to Part II, Item 7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30, 2023 for a discussion of our critical accounting policies and estimates.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Except as disclosed below, there have been no material changes to our market risk during the </w:t>
      </w:r>
      <w:r>
        <w:rPr>
          <w:rFonts w:ascii="Times New Roman" w:cs="Times New Roman" w:eastAsia="Times New Roman" w:hAnsi="Times New Roman"/>
          <w:sz w:val="18"/>
          <w:szCs w:val="18"/>
          <w:color w:val="000000"/>
        </w:rPr>
        <w:t>nine months ended March 29, 2024</w:t>
      </w:r>
      <w:r>
        <w:rPr>
          <w:rFonts w:ascii="Times New Roman" w:cs="Times New Roman" w:eastAsia="Times New Roman" w:hAnsi="Times New Roman"/>
          <w:sz w:val="18"/>
          <w:szCs w:val="18"/>
          <w:color w:val="212529"/>
        </w:rPr>
        <w:t xml:space="preserve">. See Part II, Item 7A, </w:t>
      </w:r>
      <w:r>
        <w:rPr>
          <w:rFonts w:ascii="Times New Roman" w:cs="Times New Roman" w:eastAsia="Times New Roman" w:hAnsi="Times New Roman"/>
          <w:sz w:val="18"/>
          <w:szCs w:val="18"/>
          <w:i w:val="1"/>
          <w:iCs w:val="1"/>
          <w:color w:val="212529"/>
        </w:rPr>
        <w:t xml:space="preserve">Quantitative and Qualitative Disclosures About Market Risk </w:t>
      </w:r>
      <w:r>
        <w:rPr>
          <w:rFonts w:ascii="Times New Roman" w:cs="Times New Roman" w:eastAsia="Times New Roman" w:hAnsi="Times New Roman"/>
          <w:sz w:val="18"/>
          <w:szCs w:val="18"/>
          <w:color w:val="212529"/>
        </w:rPr>
        <w:t>in our Annual Report on Form 10-K for the year ended</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June 30, 2023</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for further information</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about our exposure to market risk.</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performed sensitivity analyses as of March 29, 2024 and June 30, 2023 using a modeling technique that measures the change in the fair values arising from a hypothetical 10% adverse moveme</w:t>
      </w:r>
      <w:r>
        <w:rPr>
          <w:rFonts w:ascii="Times New Roman" w:cs="Times New Roman" w:eastAsia="Times New Roman" w:hAnsi="Times New Roman"/>
          <w:sz w:val="18"/>
          <w:szCs w:val="18"/>
          <w:color w:val="212529"/>
        </w:rPr>
        <w:t>nt in the levels of foreign currency exchange rates relative to the U.S. dollar, with all other variables held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constant. The analyses cover all of our foreign currency derivative contracts used to offset the underlying exposures. The foreign currency exchange rates used in performing the sensitivity analyses were based on market rates in effect at </w:t>
      </w:r>
      <w:r>
        <w:rPr>
          <w:rFonts w:ascii="Times New Roman" w:cs="Times New Roman" w:eastAsia="Times New Roman" w:hAnsi="Times New Roman"/>
          <w:sz w:val="18"/>
          <w:szCs w:val="18"/>
          <w:color w:val="000000"/>
        </w:rPr>
        <w:t>March 29, 2024</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June 30, 2023</w:t>
      </w:r>
      <w:r>
        <w:rPr>
          <w:rFonts w:ascii="Times New Roman" w:cs="Times New Roman" w:eastAsia="Times New Roman" w:hAnsi="Times New Roman"/>
          <w:sz w:val="18"/>
          <w:szCs w:val="18"/>
          <w:color w:val="212529"/>
        </w:rPr>
        <w:t xml:space="preserve">. The sensitivity analyses indicated that a hypothetical 10% adverse movement in foreign currency exchange rates relative to the U.S. dollar would result in a foreign exchange fair value loss of </w:t>
      </w:r>
      <w:r>
        <w:rPr>
          <w:rFonts w:ascii="Times New Roman" w:cs="Times New Roman" w:eastAsia="Times New Roman" w:hAnsi="Times New Roman"/>
          <w:sz w:val="18"/>
          <w:szCs w:val="18"/>
          <w:color w:val="000000"/>
        </w:rPr>
        <w:t>$255</w:t>
      </w:r>
      <w:r>
        <w:rPr>
          <w:rFonts w:ascii="Times New Roman" w:cs="Times New Roman" w:eastAsia="Times New Roman" w:hAnsi="Times New Roman"/>
          <w:sz w:val="18"/>
          <w:szCs w:val="18"/>
          <w:color w:val="212529"/>
        </w:rPr>
        <w:t xml:space="preserve"> million and $285 million at </w:t>
      </w:r>
      <w:r>
        <w:rPr>
          <w:rFonts w:ascii="Times New Roman" w:cs="Times New Roman" w:eastAsia="Times New Roman" w:hAnsi="Times New Roman"/>
          <w:sz w:val="18"/>
          <w:szCs w:val="18"/>
          <w:color w:val="000000"/>
        </w:rPr>
        <w:t>March 29, 2024</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June 30, 2023</w:t>
      </w:r>
      <w:r>
        <w:rPr>
          <w:rFonts w:ascii="Times New Roman" w:cs="Times New Roman" w:eastAsia="Times New Roman" w:hAnsi="Times New Roman"/>
          <w:sz w:val="18"/>
          <w:szCs w:val="18"/>
          <w:color w:val="212529"/>
        </w:rPr>
        <w:t>, respectively.</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generally held a balance of fixed and variable rate debt. As of March 29, 2024, our variable rate debt outstanding consisted of our Term Loan A-2 and Delayed Draw Term Loan, which are based on various index rates as discussed further in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As of March 29, 2024, the outstanding balance on our variable rate debt was $2.9 billion and a one percent increase in the variable rate of interest would increase annual interest expense by $29 million.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third quarter of fiscal year 2024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41"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 for disclosures regarding the status of statutory notices of deficiency issued by the IRS with regards to tax years 2008 through 2015, including the reaching of a final agreement for resolving the notices of proposed adjustments with respect to years 2013 through 2015.</w:t>
      </w:r>
    </w:p>
    <w:p>
      <w:pPr>
        <w:spacing w:after="0" w:line="22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43" w:lineRule="exact"/>
        <w:rPr>
          <w:sz w:val="20"/>
          <w:szCs w:val="20"/>
          <w:color w:val="auto"/>
        </w:rPr>
      </w:pPr>
    </w:p>
    <w:p>
      <w:pPr>
        <w:ind w:right="20" w:firstLine="324"/>
        <w:spacing w:after="0"/>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Annual Report on Form 10-K for the year ended June 30, 2023 a number of risks and uncertainties that could cause our actual results of operations and financial condition to vary materially from past, or from anticipated future, results of operations and financial condition. Except as discussed below, there have been no material changes from these risk factors previously described in Part I, Item 1A of our Annual Report on Form 10-K for the year ended June 30, 2023, as updated by the risk factors described in Part II, Item 1A of our Quarterly Reports on Form 10-Q for the quarters ended September 29, 2023, and December 29, 2023.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41" w:lineRule="exact"/>
        <w:rPr>
          <w:sz w:val="20"/>
          <w:szCs w:val="20"/>
          <w:color w:val="auto"/>
        </w:rPr>
      </w:pPr>
    </w:p>
    <w:p>
      <w:pPr>
        <w:ind w:right="220" w:firstLine="324"/>
        <w:spacing w:after="0" w:line="250" w:lineRule="auto"/>
        <w:rPr>
          <w:sz w:val="20"/>
          <w:szCs w:val="20"/>
          <w:color w:val="auto"/>
        </w:rPr>
      </w:pPr>
      <w:r>
        <w:rPr>
          <w:rFonts w:ascii="Times New Roman" w:cs="Times New Roman" w:eastAsia="Times New Roman" w:hAnsi="Times New Roman"/>
          <w:sz w:val="18"/>
          <w:szCs w:val="18"/>
          <w:color w:val="auto"/>
        </w:rPr>
        <w:t>Except as described below, during the third quarter, none of our directors or officers (as defined in Rule 16a-1(f) of the Exchange Act) adopted, modified or terminated a trading arrangement for the purchase or sale of securities that was intended to satisfy the affirmative defense conditions of Rule 10b5-1(c) of the Exchange Act (“Rule 10b5-1 Plan”) or constituted a “non-Rule 10b5-1 trading arrangement”:</w:t>
      </w:r>
    </w:p>
    <w:p>
      <w:pPr>
        <w:spacing w:after="0" w:line="217" w:lineRule="exact"/>
        <w:rPr>
          <w:sz w:val="20"/>
          <w:szCs w:val="20"/>
          <w:color w:val="auto"/>
        </w:rPr>
      </w:pPr>
    </w:p>
    <w:p>
      <w:pPr>
        <w:ind w:left="660" w:right="200" w:hanging="328"/>
        <w:spacing w:after="0" w:line="232"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Michael Ray, a former Executive Vice President, Chief Legal Officer and Secretary of the Company who left the Company effective January 12, 2024, terminated a Rule 10b5-1 Plan on February 23, 2024.</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Additional Guarantors</w:t>
      </w:r>
    </w:p>
    <w:p>
      <w:pPr>
        <w:spacing w:after="0" w:line="227"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On April 26, 2024, SanDisk Corporation (“SDC”) and SanDisk Technologies, Inc. (“SDT” and, together with SDC, the “Additional Guarantors”), each wholly-owned subsidiaries of Western Digital Corporation, entered into agreements (the “Additional Guarantees”) to unconditionally guarantee the obligations under the loan agreements governing our revolving credit facility, our Term Loan A-2 maturing 2027, and our Delayed Draw Term Loan (collectively, the “Credit Facilities”), subject to certain exceptions.</w:t>
      </w:r>
    </w:p>
    <w:p>
      <w:pPr>
        <w:spacing w:after="0" w:line="194"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As required under the indenture dated as of February 13, 2019 (the “Senior Notes Indenture”) and pursuant to the second supplemental indenture dated as of April 26, 2024, the Additional Guarantors will also guarantee the obligations under our 4.750% Senior Notes due 2026, for so long as and to the extent required under the terms of the Senior Notes Indenture. As required under the indenture dated as of November 3, 2023 (the “Convertible Notes Indenture”) and pursuant to the first supplemental indenture dated as of April 26, 2024, the Additional Guarantors will also guarantee the obligations under our 2028 Convertible Notes, for so long as and to the extent required under the terms of the Convertible Notes Indenture.</w:t>
      </w:r>
    </w:p>
    <w:p>
      <w:pPr>
        <w:spacing w:after="0" w:line="212"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In connection with entering into the Additional Guarantees, the Additional Guarantors also entered into agreements to secure the obligations under the Credit Facilities on a first-priority basis (subject to permitted liens) by a lien on substantially all the assets and properties of the Additional Guarantors (the “Additional Collateral”), subject to certain exceptions. The obligations our 2.850% Senior Notes due 2029 and 3.100% Senior Notes due 2032 will be secured by the Additional Collateral on an equal and ratable basis to the obligations under the Credit Facilities for so long as and to the extent required under the terms of the indenture and first supplemental indenture governing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3" w:lineRule="exact"/>
        <w:rPr>
          <w:sz w:val="20"/>
          <w:szCs w:val="20"/>
          <w:color w:val="auto"/>
        </w:rPr>
      </w:pPr>
    </w:p>
    <w:p>
      <w:pPr>
        <w:ind w:right="160" w:firstLine="8"/>
        <w:spacing w:after="0" w:line="250"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ind w:firstLine="8"/>
        <w:spacing w:after="0" w:line="260" w:lineRule="auto"/>
        <w:tabs>
          <w:tab w:leader="none" w:pos="3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210"/>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Exhibit</w:t>
            </w:r>
          </w:p>
        </w:tc>
        <w:tc>
          <w:tcPr>
            <w:tcW w:w="10000" w:type="dxa"/>
            <w:vAlign w:val="bottom"/>
          </w:tcPr>
          <w:p>
            <w:pPr>
              <w:spacing w:after="0"/>
              <w:rPr>
                <w:sz w:val="18"/>
                <w:szCs w:val="18"/>
                <w:color w:val="auto"/>
              </w:rPr>
            </w:pPr>
          </w:p>
        </w:tc>
      </w:tr>
      <w:tr>
        <w:trPr>
          <w:trHeight w:val="24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8"/>
              </w:rPr>
              <w:t>Number</w:t>
            </w:r>
          </w:p>
        </w:tc>
        <w:tc>
          <w:tcPr>
            <w:tcW w:w="1000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720" w:type="dxa"/>
            <w:vAlign w:val="bottom"/>
            <w:tcBorders>
              <w:top w:val="single" w:sz="8" w:color="auto"/>
            </w:tcBorders>
            <w:gridSpan w:val="4"/>
            <w:shd w:val="clear" w:color="auto" w:fill="CCEEFF"/>
          </w:tcPr>
          <w:p>
            <w:pPr>
              <w:jc w:val="center"/>
              <w:ind w:left="330"/>
              <w:spacing w:after="0" w:line="182"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Western Digital Corporation, as amended to date (Filed as Exhibit 3.1 to the</w:t>
            </w:r>
          </w:p>
        </w:tc>
      </w:tr>
      <w:tr>
        <w:trPr>
          <w:trHeight w:val="209"/>
        </w:trPr>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8, 2006)</w:t>
            </w:r>
          </w:p>
        </w:tc>
      </w:tr>
      <w:tr>
        <w:trPr>
          <w:trHeight w:val="189"/>
        </w:trPr>
        <w:tc>
          <w:tcPr>
            <w:tcW w:w="720" w:type="dxa"/>
            <w:vAlign w:val="bottom"/>
            <w:gridSpan w:val="4"/>
          </w:tcPr>
          <w:p>
            <w:pPr>
              <w:jc w:val="center"/>
              <w:ind w:left="330"/>
              <w:spacing w:after="0" w:line="189"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Certificate of Designations, Preferences and Rights of Series A Convertible Perpetual Preferred Stock (Filed as Exhibit 3.1 to the</w:t>
            </w:r>
          </w:p>
        </w:tc>
      </w:tr>
      <w:tr>
        <w:trPr>
          <w:trHeight w:val="209"/>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(File No. 1-08703) with the Securities and Exchange Commission on February 1, 2023)</w:t>
            </w:r>
          </w:p>
        </w:tc>
      </w:tr>
      <w:tr>
        <w:trPr>
          <w:trHeight w:val="189"/>
        </w:trPr>
        <w:tc>
          <w:tcPr>
            <w:tcW w:w="720" w:type="dxa"/>
            <w:vAlign w:val="bottom"/>
            <w:gridSpan w:val="4"/>
            <w:shd w:val="clear" w:color="auto" w:fill="CCEEFF"/>
          </w:tcPr>
          <w:p>
            <w:pPr>
              <w:jc w:val="center"/>
              <w:ind w:left="330"/>
              <w:spacing w:after="0" w:line="189"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Western Digital Corporation, as amended effective as of February 10, 2021 (Filed as Exhibit 3.1 to</w:t>
            </w:r>
          </w:p>
        </w:tc>
      </w:tr>
      <w:tr>
        <w:trPr>
          <w:trHeight w:val="210"/>
        </w:trPr>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Current Report on Form 8-K (File No. 1-08703) with the Securities and Exchange Commission on February 12, 2021)</w:t>
            </w:r>
          </w:p>
        </w:tc>
      </w:tr>
      <w:tr>
        <w:trPr>
          <w:trHeight w:val="189"/>
        </w:trPr>
        <w:tc>
          <w:tcPr>
            <w:tcW w:w="11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Joint Venture Restructure Agreement, dated as of January 29, 2009, by and among SanDisk Corporation, SanDisk (Ireland) Limited,</w:t>
            </w:r>
          </w:p>
        </w:tc>
      </w:tr>
      <w:tr>
        <w:trPr>
          <w:trHeight w:val="210"/>
        </w:trPr>
        <w:tc>
          <w:tcPr>
            <w:tcW w:w="4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SanDisk (Cayman) Limited, Toshiba Corporation, Flash Partners Limited and Flash Alliance Limited†#</w:t>
            </w:r>
          </w:p>
        </w:tc>
      </w:tr>
      <w:tr>
        <w:trPr>
          <w:trHeight w:val="189"/>
        </w:trPr>
        <w:tc>
          <w:tcPr>
            <w:tcW w:w="11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Equity Purchase Agreement, dated as of March 4, 2024, by and among, SanDisk China Limited and JCET Management Co., Ltd.†</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r>
      <w:tr>
        <w:trPr>
          <w:trHeight w:val="189"/>
        </w:trPr>
        <w:tc>
          <w:tcPr>
            <w:tcW w:w="11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09"/>
        </w:trPr>
        <w:tc>
          <w:tcPr>
            <w:tcW w:w="4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w:t>
            </w:r>
          </w:p>
        </w:tc>
      </w:tr>
      <w:tr>
        <w:trPr>
          <w:trHeight w:val="189"/>
        </w:trPr>
        <w:tc>
          <w:tcPr>
            <w:tcW w:w="11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09"/>
        </w:trPr>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 of 2002**</w:t>
            </w:r>
          </w:p>
        </w:tc>
      </w:tr>
      <w:tr>
        <w:trPr>
          <w:trHeight w:val="176"/>
        </w:trPr>
        <w:tc>
          <w:tcPr>
            <w:tcW w:w="1240" w:type="dxa"/>
            <w:vAlign w:val="bottom"/>
            <w:gridSpan w:val="6"/>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10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2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ind w:left="1260" w:hanging="827"/>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contained in Exhibit 101</w:t>
      </w:r>
    </w:p>
    <w:p>
      <w:pPr>
        <w:spacing w:after="0" w:line="26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9683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with this report.</w:t>
      </w:r>
    </w:p>
    <w:p>
      <w:pPr>
        <w:spacing w:after="0" w:line="9" w:lineRule="exact"/>
        <w:rPr>
          <w:sz w:val="20"/>
          <w:szCs w:val="20"/>
          <w:color w:val="auto"/>
        </w:rPr>
      </w:pPr>
    </w:p>
    <w:p>
      <w:pPr>
        <w:ind w:left="340" w:right="300" w:hanging="332"/>
        <w:spacing w:after="0" w:line="260" w:lineRule="auto"/>
        <w:tabs>
          <w:tab w:leader="none" w:pos="1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Exchange Act of 1934, as amended, certain confidential portions of this exhibit have been redacted from the publicly filed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185"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432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Gene Zamiska</w:t>
      </w:r>
    </w:p>
    <w:p>
      <w:pPr>
        <w:spacing w:after="0" w:line="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Senior Vice President, Global Accounting and Chief</w:t>
      </w:r>
    </w:p>
    <w:p>
      <w:pPr>
        <w:ind w:left="68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 and Duly Authorized</w:t>
      </w:r>
    </w:p>
    <w:p>
      <w:pPr>
        <w:ind w:left="6840"/>
        <w:spacing w:after="0"/>
        <w:rPr>
          <w:sz w:val="20"/>
          <w:szCs w:val="20"/>
          <w:color w:val="auto"/>
        </w:rPr>
      </w:pPr>
      <w:r>
        <w:rPr>
          <w:rFonts w:ascii="Times New Roman" w:cs="Times New Roman" w:eastAsia="Times New Roman" w:hAnsi="Times New Roman"/>
          <w:sz w:val="18"/>
          <w:szCs w:val="18"/>
          <w:color w:val="auto"/>
        </w:rPr>
        <w:t>Officer)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2024</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320" w:top="121" w:right="599" w:bottom="1440" w:gutter="0" w:footer="0" w:header="0"/>
        </w:sectPr>
      </w:pPr>
    </w:p>
    <w:bookmarkStart w:id="63" w:name="page64"/>
    <w:bookmarkEnd w:id="63"/>
    <w:p>
      <w:pPr>
        <w:ind w:left="101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62" w:lineRule="exact"/>
        <w:rPr>
          <w:sz w:val="20"/>
          <w:szCs w:val="20"/>
          <w:color w:val="auto"/>
        </w:rPr>
      </w:pPr>
    </w:p>
    <w:p>
      <w:pPr>
        <w:jc w:val="center"/>
        <w:ind w:right="20"/>
        <w:spacing w:after="0" w:line="256" w:lineRule="auto"/>
        <w:rPr>
          <w:sz w:val="20"/>
          <w:szCs w:val="20"/>
          <w:color w:val="auto"/>
        </w:rPr>
      </w:pPr>
      <w:r>
        <w:rPr>
          <w:rFonts w:ascii="Times New Roman" w:cs="Times New Roman" w:eastAsia="Times New Roman" w:hAnsi="Times New Roman"/>
          <w:sz w:val="22"/>
          <w:szCs w:val="22"/>
          <w:color w:val="auto"/>
        </w:rPr>
        <w:t>CERTAIN CONFIDENTIAL PORTIONS OF THIS EXHIBIT HAVE BEEN REDACTED BECAUSE THEY ARE BOTH (i) NOT MATERIAL AND (ii) THE TYPE OF INFORMATION THAT THE REGISTRANT TREATS AS PRIVATE OR CONFIDENTIAL. INFORMATION THAT HAS BEEN OMITTED HAS BEEN IDENTIFIED IN THIS DOCUMENT WITH A PLACEHOLDER IDENTIFIED BY THE MARK “[***]”.</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3022600</wp:posOffset>
            </wp:positionV>
            <wp:extent cx="58807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JOINT VENTURE RESTRUCTURE AGREEMENT</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Dated as of January 29, 2009</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by and among</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TOSHIBA CORPORATION,</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SANDISK (IRELAND) LIMITED,</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SANDISK (CAYMAN) LIMITED,</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SANDISK CORPORATION,</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FLASH PARTNERS LIMITED,</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and</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FLASH ALLIANCE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8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271"/>
        </w:trPr>
        <w:tc>
          <w:tcPr>
            <w:tcW w:w="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22"/>
                <w:szCs w:val="22"/>
                <w:color w:val="auto"/>
              </w:rPr>
              <w:t>1.</w:t>
            </w:r>
          </w:p>
        </w:tc>
        <w:tc>
          <w:tcPr>
            <w:tcW w:w="968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22"/>
                <w:szCs w:val="22"/>
                <w:color w:val="auto"/>
              </w:rPr>
              <w:t>Definitions</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Transactions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22"/>
                <w:szCs w:val="22"/>
                <w:color w:val="auto"/>
              </w:rPr>
              <w:t>3.</w:t>
            </w:r>
          </w:p>
        </w:tc>
        <w:tc>
          <w:tcPr>
            <w:tcW w:w="968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22"/>
                <w:szCs w:val="22"/>
                <w:color w:val="auto"/>
              </w:rPr>
              <w:t>Capital Equipment Acquisition Transactions</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Allocation of Capacity to Toshiba</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22"/>
                <w:szCs w:val="22"/>
                <w:color w:val="auto"/>
              </w:rPr>
              <w:t>5.</w:t>
            </w:r>
          </w:p>
        </w:tc>
        <w:tc>
          <w:tcPr>
            <w:tcW w:w="968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22"/>
                <w:szCs w:val="22"/>
                <w:color w:val="auto"/>
              </w:rPr>
              <w:t>Modification of Joint Venture Agreements, Future Technology Transaction and Expansion of Capacity</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22"/>
                <w:szCs w:val="22"/>
                <w:color w:val="auto"/>
              </w:rPr>
              <w:t>7.</w:t>
            </w:r>
          </w:p>
        </w:tc>
        <w:tc>
          <w:tcPr>
            <w:tcW w:w="968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22"/>
                <w:szCs w:val="22"/>
                <w:color w:val="auto"/>
              </w:rPr>
              <w:t>Foundry and [***]</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Representations and Warranties of Each of the Parties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22"/>
                <w:szCs w:val="22"/>
                <w:color w:val="auto"/>
              </w:rPr>
              <w:t>Additional Matters</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82"/>
        </w:trPr>
        <w:tc>
          <w:tcPr>
            <w:tcW w:w="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Miscellaneous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20"/>
          </w:cols>
          <w:pgMar w:left="320" w:top="122" w:right="359" w:bottom="1440" w:gutter="0" w:footer="0" w:header="0"/>
        </w:sectPr>
      </w:pPr>
    </w:p>
    <w:bookmarkStart w:id="65" w:name="page66"/>
    <w:bookmarkEnd w:id="65"/>
    <w:p>
      <w:pPr>
        <w:spacing w:after="0" w:line="200" w:lineRule="exact"/>
        <w:rPr>
          <w:sz w:val="20"/>
          <w:szCs w:val="20"/>
          <w:color w:val="auto"/>
        </w:rPr>
      </w:pPr>
    </w:p>
    <w:p>
      <w:pPr>
        <w:spacing w:after="0" w:line="3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JOINT VENTURE RESTRUCTURE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January 29, 2009, is entered into by and among, on one side, TOSHIBA CORPORATION, a Japanese corporation (“</w:t>
      </w:r>
      <w:r>
        <w:rPr>
          <w:rFonts w:ascii="Times New Roman" w:cs="Times New Roman" w:eastAsia="Times New Roman" w:hAnsi="Times New Roman"/>
          <w:sz w:val="22"/>
          <w:szCs w:val="22"/>
          <w:u w:val="single" w:color="auto"/>
          <w:color w:val="auto"/>
        </w:rPr>
        <w:t>Toshiba</w:t>
      </w:r>
      <w:r>
        <w:rPr>
          <w:rFonts w:ascii="Times New Roman" w:cs="Times New Roman" w:eastAsia="Times New Roman" w:hAnsi="Times New Roman"/>
          <w:sz w:val="22"/>
          <w:szCs w:val="22"/>
          <w:color w:val="auto"/>
        </w:rPr>
        <w:t>”), and, on the other side, SANDISK CORPORATION, a Delaware corporation (“</w:t>
      </w:r>
      <w:r>
        <w:rPr>
          <w:rFonts w:ascii="Times New Roman" w:cs="Times New Roman" w:eastAsia="Times New Roman" w:hAnsi="Times New Roman"/>
          <w:sz w:val="22"/>
          <w:szCs w:val="22"/>
          <w:u w:val="single" w:color="auto"/>
          <w:color w:val="auto"/>
        </w:rPr>
        <w:t>SanDisk Corporation</w:t>
      </w:r>
      <w:r>
        <w:rPr>
          <w:rFonts w:ascii="Times New Roman" w:cs="Times New Roman" w:eastAsia="Times New Roman" w:hAnsi="Times New Roman"/>
          <w:sz w:val="22"/>
          <w:szCs w:val="22"/>
          <w:color w:val="auto"/>
        </w:rPr>
        <w:t>”), SANDISK (CAYMAN) LIMITED, a company organized under the laws of the Cayman Islands (“</w:t>
      </w:r>
      <w:r>
        <w:rPr>
          <w:rFonts w:ascii="Times New Roman" w:cs="Times New Roman" w:eastAsia="Times New Roman" w:hAnsi="Times New Roman"/>
          <w:sz w:val="22"/>
          <w:szCs w:val="22"/>
          <w:u w:val="single" w:color="auto"/>
          <w:color w:val="auto"/>
        </w:rPr>
        <w:t>SanDisk Cayman</w:t>
      </w:r>
      <w:r>
        <w:rPr>
          <w:rFonts w:ascii="Times New Roman" w:cs="Times New Roman" w:eastAsia="Times New Roman" w:hAnsi="Times New Roman"/>
          <w:sz w:val="22"/>
          <w:szCs w:val="22"/>
          <w:color w:val="auto"/>
        </w:rPr>
        <w:t>”) and SANDISK (IRELAND) LIMITED, a company organized under the laws of the Republic of Ireland (“</w:t>
      </w:r>
      <w:r>
        <w:rPr>
          <w:rFonts w:ascii="Times New Roman" w:cs="Times New Roman" w:eastAsia="Times New Roman" w:hAnsi="Times New Roman"/>
          <w:sz w:val="22"/>
          <w:szCs w:val="22"/>
          <w:u w:val="single" w:color="auto"/>
          <w:color w:val="auto"/>
        </w:rPr>
        <w:t>SanDisk Ireland</w:t>
      </w:r>
      <w:r>
        <w:rPr>
          <w:rFonts w:ascii="Times New Roman" w:cs="Times New Roman" w:eastAsia="Times New Roman" w:hAnsi="Times New Roman"/>
          <w:sz w:val="22"/>
          <w:szCs w:val="22"/>
          <w:color w:val="auto"/>
        </w:rPr>
        <w:t>,” and collectively with SanDisk Corporation and SanDisk Cayman, “</w:t>
      </w:r>
      <w:r>
        <w:rPr>
          <w:rFonts w:ascii="Times New Roman" w:cs="Times New Roman" w:eastAsia="Times New Roman" w:hAnsi="Times New Roman"/>
          <w:sz w:val="22"/>
          <w:szCs w:val="22"/>
          <w:u w:val="single" w:color="auto"/>
          <w:color w:val="auto"/>
        </w:rPr>
        <w:t>SanDisk</w:t>
      </w:r>
      <w:r>
        <w:rPr>
          <w:rFonts w:ascii="Times New Roman" w:cs="Times New Roman" w:eastAsia="Times New Roman" w:hAnsi="Times New Roman"/>
          <w:sz w:val="22"/>
          <w:szCs w:val="22"/>
          <w:color w:val="auto"/>
        </w:rPr>
        <w:t xml:space="preserve">”), FLASH PARTNERS LIMITED, a </w:t>
      </w:r>
      <w:r>
        <w:rPr>
          <w:rFonts w:ascii="Times New Roman" w:cs="Times New Roman" w:eastAsia="Times New Roman" w:hAnsi="Times New Roman"/>
          <w:sz w:val="22"/>
          <w:szCs w:val="22"/>
          <w:i w:val="1"/>
          <w:iCs w:val="1"/>
          <w:color w:val="auto"/>
        </w:rPr>
        <w:t>tokurei yugen kaisha</w:t>
      </w:r>
      <w:r>
        <w:rPr>
          <w:rFonts w:ascii="Times New Roman" w:cs="Times New Roman" w:eastAsia="Times New Roman" w:hAnsi="Times New Roman"/>
          <w:sz w:val="22"/>
          <w:szCs w:val="22"/>
          <w:color w:val="auto"/>
        </w:rPr>
        <w:t xml:space="preserve"> organized under the laws of Japan (“</w:t>
      </w:r>
      <w:r>
        <w:rPr>
          <w:rFonts w:ascii="Times New Roman" w:cs="Times New Roman" w:eastAsia="Times New Roman" w:hAnsi="Times New Roman"/>
          <w:sz w:val="22"/>
          <w:szCs w:val="22"/>
          <w:u w:val="single" w:color="auto"/>
          <w:color w:val="auto"/>
        </w:rPr>
        <w:t>FP</w:t>
      </w:r>
      <w:r>
        <w:rPr>
          <w:rFonts w:ascii="Times New Roman" w:cs="Times New Roman" w:eastAsia="Times New Roman" w:hAnsi="Times New Roman"/>
          <w:sz w:val="22"/>
          <w:szCs w:val="22"/>
          <w:color w:val="auto"/>
        </w:rPr>
        <w:t xml:space="preserve">”), and FLASH ALLIANCE LIMITED, a </w:t>
      </w:r>
      <w:r>
        <w:rPr>
          <w:rFonts w:ascii="Times New Roman" w:cs="Times New Roman" w:eastAsia="Times New Roman" w:hAnsi="Times New Roman"/>
          <w:sz w:val="22"/>
          <w:szCs w:val="22"/>
          <w:i w:val="1"/>
          <w:iCs w:val="1"/>
          <w:color w:val="auto"/>
        </w:rPr>
        <w:t>tokurei yugen kaisha</w:t>
      </w:r>
      <w:r>
        <w:rPr>
          <w:rFonts w:ascii="Times New Roman" w:cs="Times New Roman" w:eastAsia="Times New Roman" w:hAnsi="Times New Roman"/>
          <w:sz w:val="22"/>
          <w:szCs w:val="22"/>
          <w:color w:val="auto"/>
        </w:rPr>
        <w:t xml:space="preserve"> organized under the laws of Japan (“</w:t>
      </w:r>
      <w:r>
        <w:rPr>
          <w:rFonts w:ascii="Times New Roman" w:cs="Times New Roman" w:eastAsia="Times New Roman" w:hAnsi="Times New Roman"/>
          <w:sz w:val="22"/>
          <w:szCs w:val="22"/>
          <w:u w:val="single" w:color="auto"/>
          <w:color w:val="auto"/>
        </w:rPr>
        <w:t>FA</w:t>
      </w:r>
      <w:r>
        <w:rPr>
          <w:rFonts w:ascii="Times New Roman" w:cs="Times New Roman" w:eastAsia="Times New Roman" w:hAnsi="Times New Roman"/>
          <w:sz w:val="22"/>
          <w:szCs w:val="22"/>
          <w:color w:val="auto"/>
        </w:rPr>
        <w:t>” and, together with FP, the “</w:t>
      </w:r>
      <w:r>
        <w:rPr>
          <w:rFonts w:ascii="Times New Roman" w:cs="Times New Roman" w:eastAsia="Times New Roman" w:hAnsi="Times New Roman"/>
          <w:sz w:val="22"/>
          <w:szCs w:val="22"/>
          <w:u w:val="single" w:color="auto"/>
          <w:color w:val="auto"/>
        </w:rPr>
        <w:t>JVs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Joint Ventures</w:t>
      </w:r>
      <w:r>
        <w:rPr>
          <w:rFonts w:ascii="Times New Roman" w:cs="Times New Roman" w:eastAsia="Times New Roman" w:hAnsi="Times New Roman"/>
          <w:sz w:val="22"/>
          <w:szCs w:val="22"/>
          <w:color w:val="auto"/>
        </w:rPr>
        <w:t>” and the Joint Ventures together with SanDisk and Toshiba,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pursuant to that certain Flash Partners Master Agreement (the “</w:t>
      </w:r>
      <w:r>
        <w:rPr>
          <w:rFonts w:ascii="Times New Roman" w:cs="Times New Roman" w:eastAsia="Times New Roman" w:hAnsi="Times New Roman"/>
          <w:sz w:val="22"/>
          <w:szCs w:val="22"/>
          <w:u w:val="single" w:color="auto"/>
          <w:color w:val="auto"/>
        </w:rPr>
        <w:t>FP Master Agreement</w:t>
      </w:r>
      <w:r>
        <w:rPr>
          <w:rFonts w:ascii="Times New Roman" w:cs="Times New Roman" w:eastAsia="Times New Roman" w:hAnsi="Times New Roman"/>
          <w:sz w:val="22"/>
          <w:szCs w:val="22"/>
          <w:color w:val="auto"/>
        </w:rPr>
        <w:t>”) by and among Toshiba, SanDisk Corporation and SanDisk Cayman, dated as of September 10, 2004 and the agreements referenced therein (the “</w:t>
      </w:r>
      <w:r>
        <w:rPr>
          <w:rFonts w:ascii="Times New Roman" w:cs="Times New Roman" w:eastAsia="Times New Roman" w:hAnsi="Times New Roman"/>
          <w:sz w:val="22"/>
          <w:szCs w:val="22"/>
          <w:u w:val="single" w:color="auto"/>
          <w:color w:val="auto"/>
        </w:rPr>
        <w:t>FP Agreements</w:t>
      </w:r>
      <w:r>
        <w:rPr>
          <w:rFonts w:ascii="Times New Roman" w:cs="Times New Roman" w:eastAsia="Times New Roman" w:hAnsi="Times New Roman"/>
          <w:sz w:val="22"/>
          <w:szCs w:val="22"/>
          <w:color w:val="auto"/>
        </w:rPr>
        <w:t>”), the Parties have had a collaboration for development and manufacture of Y3 NAND Flash Memory Products (as defined in the FP Agreements);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pursuant to that certain Flash Alliance Master Agreement (the “</w:t>
      </w:r>
      <w:r>
        <w:rPr>
          <w:rFonts w:ascii="Times New Roman" w:cs="Times New Roman" w:eastAsia="Times New Roman" w:hAnsi="Times New Roman"/>
          <w:sz w:val="22"/>
          <w:szCs w:val="22"/>
          <w:u w:val="single" w:color="auto"/>
          <w:color w:val="auto"/>
        </w:rPr>
        <w:t>FA Master Agreement</w:t>
      </w:r>
      <w:r>
        <w:rPr>
          <w:rFonts w:ascii="Times New Roman" w:cs="Times New Roman" w:eastAsia="Times New Roman" w:hAnsi="Times New Roman"/>
          <w:sz w:val="22"/>
          <w:szCs w:val="22"/>
          <w:color w:val="auto"/>
        </w:rPr>
        <w:t>”) by and among Toshiba, SanDisk Corporation and SanDisk Ireland, dated as of July 7, 2006 and the agreements referenced therein (the “</w:t>
      </w:r>
      <w:r>
        <w:rPr>
          <w:rFonts w:ascii="Times New Roman" w:cs="Times New Roman" w:eastAsia="Times New Roman" w:hAnsi="Times New Roman"/>
          <w:sz w:val="22"/>
          <w:szCs w:val="22"/>
          <w:u w:val="single" w:color="auto"/>
          <w:color w:val="auto"/>
        </w:rPr>
        <w:t>FA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the Parties have had a collaboration for development and manufacture of Y4 NAND Flash Memory Products (as defined in the FA Agreements);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WHEREAS, pursuant to that certain 3D Collaboration Agreement by and between Toshiba and SanDisk Corporation, dated as of June 13, 2008 (the “</w:t>
      </w:r>
      <w:r>
        <w:rPr>
          <w:rFonts w:ascii="Times New Roman" w:cs="Times New Roman" w:eastAsia="Times New Roman" w:hAnsi="Times New Roman"/>
          <w:sz w:val="22"/>
          <w:szCs w:val="22"/>
          <w:u w:val="single" w:color="auto"/>
          <w:color w:val="auto"/>
        </w:rPr>
        <w:t>3D Collaboration Agreement</w:t>
      </w:r>
      <w:r>
        <w:rPr>
          <w:rFonts w:ascii="Times New Roman" w:cs="Times New Roman" w:eastAsia="Times New Roman" w:hAnsi="Times New Roman"/>
          <w:sz w:val="22"/>
          <w:szCs w:val="22"/>
          <w:color w:val="auto"/>
        </w:rPr>
        <w:t>”), the Parties have expanded the collaboration to include 3D Memory Products as that term is defined in the 3D Collaboration Agreement (“</w:t>
      </w:r>
      <w:r>
        <w:rPr>
          <w:rFonts w:ascii="Times New Roman" w:cs="Times New Roman" w:eastAsia="Times New Roman" w:hAnsi="Times New Roman"/>
          <w:sz w:val="22"/>
          <w:szCs w:val="22"/>
          <w:u w:val="single" w:color="auto"/>
          <w:color w:val="auto"/>
        </w:rPr>
        <w:t>3D Memory Products</w:t>
      </w:r>
      <w:r>
        <w:rPr>
          <w:rFonts w:ascii="Times New Roman" w:cs="Times New Roman" w:eastAsia="Times New Roman" w:hAnsi="Times New Roman"/>
          <w:sz w:val="22"/>
          <w:szCs w:val="22"/>
          <w:color w:val="auto"/>
        </w:rPr>
        <w:t>”), and the Patent Cross License Agreement between Toshiba and SanDisk Corporation, dated as of July 30, 1997, as amended (the “</w:t>
      </w:r>
      <w:r>
        <w:rPr>
          <w:rFonts w:ascii="Times New Roman" w:cs="Times New Roman" w:eastAsia="Times New Roman" w:hAnsi="Times New Roman"/>
          <w:sz w:val="22"/>
          <w:szCs w:val="22"/>
          <w:u w:val="single" w:color="auto"/>
          <w:color w:val="auto"/>
        </w:rPr>
        <w:t>Cross License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(collectively, the FP Agreements, the FA Agreements, [***], the 3D Collaboration Agreement and the Cross License Agreement, are from time to time referred to herein as the “</w:t>
      </w:r>
      <w:r>
        <w:rPr>
          <w:rFonts w:ascii="Times New Roman" w:cs="Times New Roman" w:eastAsia="Times New Roman" w:hAnsi="Times New Roman"/>
          <w:sz w:val="22"/>
          <w:szCs w:val="22"/>
          <w:u w:val="single" w:color="auto"/>
          <w:color w:val="auto"/>
        </w:rPr>
        <w:t>Joint Venture Agreements</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have entered into a non-binding memorandum of understanding dated as of October 20, 2008 to restructure and amend the Joint Venture Agreements in part and to provide for the acquisition by Toshiba of certain capacity and equipment in connection with the production of NAND Flash Memory Products at the Joint Ventures; and</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WHEREAS, in order to realize these goals, the Parties desire to consummate or cause to be consummated the Transactions described in this Agreement and an Equipment Purchase Agreement substantially in the form of the attached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Equipment Purchase Agreement</w:t>
      </w:r>
      <w:r>
        <w:rPr>
          <w:rFonts w:ascii="Times New Roman" w:cs="Times New Roman" w:eastAsia="Times New Roman" w:hAnsi="Times New Roman"/>
          <w:sz w:val="22"/>
          <w:szCs w:val="22"/>
          <w:color w:val="auto"/>
        </w:rPr>
        <w:t xml:space="preserve">”), a SanDisk Foundry Agreement substantially in the form of the attached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Foundry Agreement</w:t>
      </w:r>
      <w:r>
        <w:rPr>
          <w:rFonts w:ascii="Times New Roman" w:cs="Times New Roman" w:eastAsia="Times New Roman" w:hAnsi="Times New Roman"/>
          <w:sz w:val="22"/>
          <w:szCs w:val="22"/>
          <w:color w:val="auto"/>
        </w:rPr>
        <w:t>”) and any other transactions which the Parties may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consider necessary or appropriate to carry out the intent of the Parties as expressed herein and therein.</w:t>
      </w:r>
    </w:p>
    <w:p>
      <w:pPr>
        <w:spacing w:after="0" w:line="19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promises, covenants and conditions set forth herein, the Parties hereby agree as follows:</w:t>
      </w:r>
    </w:p>
    <w:p>
      <w:pPr>
        <w:spacing w:after="0" w:line="173"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The following capitalized terms used in this Agreement shall have the respective meanings assigned in this</w:t>
      </w:r>
    </w:p>
    <w:p>
      <w:pPr>
        <w:spacing w:after="0" w:line="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Agreement:</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1"/>
              </w:rPr>
              <w:t>Term</w:t>
            </w:r>
          </w:p>
        </w:tc>
        <w:tc>
          <w:tcPr>
            <w:tcW w:w="5560" w:type="dxa"/>
            <w:vAlign w:val="bottom"/>
            <w:vMerge w:val="restart"/>
          </w:tcPr>
          <w:p>
            <w:pPr>
              <w:spacing w:after="0"/>
              <w:rPr>
                <w:sz w:val="23"/>
                <w:szCs w:val="23"/>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Defined In</w:t>
            </w:r>
          </w:p>
        </w:tc>
        <w:tc>
          <w:tcPr>
            <w:tcW w:w="0" w:type="dxa"/>
            <w:vAlign w:val="bottom"/>
          </w:tcPr>
          <w:p>
            <w:pPr>
              <w:spacing w:after="0"/>
              <w:rPr>
                <w:sz w:val="1"/>
                <w:szCs w:val="1"/>
                <w:color w:val="auto"/>
              </w:rPr>
            </w:pPr>
          </w:p>
        </w:tc>
      </w:tr>
      <w:tr>
        <w:trPr>
          <w:trHeight w:val="48"/>
        </w:trPr>
        <w:tc>
          <w:tcPr>
            <w:tcW w:w="500" w:type="dxa"/>
            <w:vAlign w:val="bottom"/>
          </w:tcPr>
          <w:p>
            <w:pPr>
              <w:spacing w:after="0"/>
              <w:rPr>
                <w:sz w:val="4"/>
                <w:szCs w:val="4"/>
                <w:color w:val="auto"/>
              </w:rPr>
            </w:pPr>
          </w:p>
        </w:tc>
        <w:tc>
          <w:tcPr>
            <w:tcW w:w="5560" w:type="dxa"/>
            <w:vAlign w:val="bottom"/>
            <w:vMerge w:val="continue"/>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3D Collaboration Agreement</w:t>
            </w: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Recitals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3D Memory Products</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5.4(b)</w:t>
            </w:r>
          </w:p>
        </w:tc>
        <w:tc>
          <w:tcPr>
            <w:tcW w:w="0" w:type="dxa"/>
            <w:vAlign w:val="bottom"/>
          </w:tcPr>
          <w:p>
            <w:pPr>
              <w:spacing w:after="0"/>
              <w:rPr>
                <w:sz w:val="1"/>
                <w:szCs w:val="1"/>
                <w:color w:val="auto"/>
              </w:rPr>
            </w:pPr>
          </w:p>
        </w:tc>
      </w:tr>
      <w:tr>
        <w:trPr>
          <w:trHeight w:val="35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7.3</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Heading</w:t>
            </w: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4.1(d)(iii)</w:t>
            </w:r>
          </w:p>
        </w:tc>
        <w:tc>
          <w:tcPr>
            <w:tcW w:w="0" w:type="dxa"/>
            <w:vAlign w:val="bottom"/>
          </w:tcPr>
          <w:p>
            <w:pPr>
              <w:spacing w:after="0"/>
              <w:rPr>
                <w:sz w:val="1"/>
                <w:szCs w:val="1"/>
                <w:color w:val="auto"/>
              </w:rPr>
            </w:pPr>
          </w:p>
        </w:tc>
      </w:tr>
      <w:tr>
        <w:trPr>
          <w:trHeight w:val="35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6.1(a)(iii)</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3"/>
                <w:szCs w:val="23"/>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4.1(d)(ii)</w:t>
            </w:r>
          </w:p>
        </w:tc>
        <w:tc>
          <w:tcPr>
            <w:tcW w:w="0" w:type="dxa"/>
            <w:vAlign w:val="bottom"/>
          </w:tcPr>
          <w:p>
            <w:pPr>
              <w:spacing w:after="0"/>
              <w:rPr>
                <w:sz w:val="1"/>
                <w:szCs w:val="1"/>
                <w:color w:val="auto"/>
              </w:rPr>
            </w:pPr>
          </w:p>
        </w:tc>
      </w:tr>
      <w:tr>
        <w:trPr>
          <w:trHeight w:val="282"/>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Cross License Agreement</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352"/>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Equipment</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2.1(a)(i)</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Equipment Purchase Agreement</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FA</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Heading</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FA Agreements</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FA Master Agreement</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3"/>
                <w:szCs w:val="23"/>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5.4(a)(i)</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Foundry Agreement</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FP</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Heading</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FP Agreements</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82"/>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FP Master Agreement</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364"/>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Governmental Authority</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8.3</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4.1(a)</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4.1(a)</w:t>
            </w:r>
          </w:p>
        </w:tc>
        <w:tc>
          <w:tcPr>
            <w:tcW w:w="0" w:type="dxa"/>
            <w:vAlign w:val="bottom"/>
          </w:tcPr>
          <w:p>
            <w:pPr>
              <w:spacing w:after="0"/>
              <w:rPr>
                <w:sz w:val="1"/>
                <w:szCs w:val="1"/>
                <w:color w:val="auto"/>
              </w:rPr>
            </w:pPr>
          </w:p>
        </w:tc>
      </w:tr>
      <w:tr>
        <w:trPr>
          <w:trHeight w:val="35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4.1(a)</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spacing w:after="0"/>
              <w:rPr>
                <w:sz w:val="23"/>
                <w:szCs w:val="23"/>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Joint Venture Agreements</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Joint Ventures</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Heading</w:t>
            </w:r>
          </w:p>
        </w:tc>
        <w:tc>
          <w:tcPr>
            <w:tcW w:w="0" w:type="dxa"/>
            <w:vAlign w:val="bottom"/>
          </w:tcPr>
          <w:p>
            <w:pPr>
              <w:spacing w:after="0"/>
              <w:rPr>
                <w:sz w:val="1"/>
                <w:szCs w:val="1"/>
                <w:color w:val="auto"/>
              </w:rPr>
            </w:pPr>
          </w:p>
        </w:tc>
      </w:tr>
      <w:tr>
        <w:trPr>
          <w:trHeight w:val="282"/>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JV</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Heading</w:t>
            </w:r>
          </w:p>
        </w:tc>
        <w:tc>
          <w:tcPr>
            <w:tcW w:w="0" w:type="dxa"/>
            <w:vAlign w:val="bottom"/>
          </w:tcPr>
          <w:p>
            <w:pPr>
              <w:spacing w:after="0"/>
              <w:rPr>
                <w:sz w:val="1"/>
                <w:szCs w:val="1"/>
                <w:color w:val="auto"/>
              </w:rPr>
            </w:pPr>
          </w:p>
        </w:tc>
      </w:tr>
      <w:tr>
        <w:trPr>
          <w:trHeight w:val="297"/>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(JV Adjusted Capacity Ratio)</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Schedule 4.1(b)(ii)</w:t>
            </w:r>
          </w:p>
        </w:tc>
        <w:tc>
          <w:tcPr>
            <w:tcW w:w="0" w:type="dxa"/>
            <w:vAlign w:val="bottom"/>
          </w:tcPr>
          <w:p>
            <w:pPr>
              <w:spacing w:after="0"/>
              <w:rPr>
                <w:sz w:val="1"/>
                <w:szCs w:val="1"/>
                <w:color w:val="auto"/>
              </w:rPr>
            </w:pPr>
          </w:p>
        </w:tc>
      </w:tr>
      <w:tr>
        <w:trPr>
          <w:trHeight w:val="365"/>
        </w:trPr>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(JV Capacity Ratio)</w:t>
            </w:r>
          </w:p>
        </w:tc>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Schedule 4.1(b)(i)</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type w:val="continuous"/>
        </w:sectPr>
      </w:pPr>
    </w:p>
    <w:bookmarkStart w:id="67" w:name="page68"/>
    <w:bookmarkEnd w:id="67"/>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(JV Equivalent Lot Capacity)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SanDisk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SanDisk Cayman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SanDisk Corporation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SanDisk Ireland</w:t>
      </w:r>
    </w:p>
    <w:p>
      <w:pPr>
        <w:spacing w:after="0" w:line="32" w:lineRule="exact"/>
        <w:rPr>
          <w:sz w:val="20"/>
          <w:szCs w:val="20"/>
          <w:color w:val="auto"/>
        </w:rPr>
      </w:pPr>
    </w:p>
    <w:p>
      <w:pPr>
        <w:ind w:left="520" w:hanging="517"/>
        <w:spacing w:after="0"/>
        <w:tabs>
          <w:tab w:leader="none" w:pos="5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(SanDisk Option)</w:t>
      </w:r>
    </w:p>
    <w:p>
      <w:pPr>
        <w:spacing w:after="0" w:line="111" w:lineRule="exact"/>
        <w:rPr>
          <w:rFonts w:ascii="Times New Roman" w:cs="Times New Roman" w:eastAsia="Times New Roman" w:hAnsi="Times New Roman"/>
          <w:sz w:val="22"/>
          <w:szCs w:val="22"/>
          <w:color w:val="auto"/>
        </w:rPr>
      </w:pPr>
    </w:p>
    <w:p>
      <w:pPr>
        <w:ind w:left="520" w:hanging="517"/>
        <w:spacing w:after="0"/>
        <w:tabs>
          <w:tab w:leader="none" w:pos="5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(SanDisk Option Exercise Notice)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Toshiba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4.1(b)(i)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4.1(b)(ii)</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4.1(d)(iv)</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7.2(a)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7.2(b)</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5.6(a)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4.1(b)(ii)</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5.2(a)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4.1(b)(i)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4.1(b)(i)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4.1(b)(ii)</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4.1(b)(i)</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4.1(d)(i)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5.4(a)(ii)</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4.1(d)(i)</w:t>
      </w:r>
    </w:p>
    <w:p>
      <w:pPr>
        <w:spacing w:after="0" w:line="212" w:lineRule="exact"/>
        <w:rPr>
          <w:sz w:val="20"/>
          <w:szCs w:val="20"/>
          <w:color w:val="auto"/>
        </w:rPr>
      </w:pPr>
    </w:p>
    <w:p>
      <w:pPr>
        <w:sectPr>
          <w:pgSz w:w="11900" w:h="16838" w:orient="portrait"/>
          <w:cols w:equalWidth="0" w:num="2">
            <w:col w:w="5340" w:space="720"/>
            <w:col w:w="4520"/>
          </w:cols>
          <w:pgMar w:left="980" w:top="1440" w:right="339" w:bottom="1106" w:gutter="0" w:footer="0" w:header="0"/>
        </w:sectPr>
      </w:pPr>
    </w:p>
    <w:p>
      <w:pPr>
        <w:spacing w:after="0" w:line="358" w:lineRule="exact"/>
        <w:rPr>
          <w:sz w:val="20"/>
          <w:szCs w:val="20"/>
          <w:color w:val="auto"/>
        </w:rPr>
      </w:pPr>
    </w:p>
    <w:p>
      <w:pPr>
        <w:jc w:val="both"/>
        <w:ind w:left="520" w:hanging="517"/>
        <w:spacing w:after="0" w:line="252" w:lineRule="auto"/>
        <w:tabs>
          <w:tab w:leader="none" w:pos="50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Whenever the words “include,” “includes” or “including” are used in this Agreement, they shall be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deemed, as the context indicates, to be followed by the words “but (is/are) not limited to.” Wherever in this Agreement words indicating the plural number appear, such words will be considered as words indicating the singular number and vice versa where the context indicates the propriety of such use.</w:t>
      </w:r>
    </w:p>
    <w:p>
      <w:pPr>
        <w:spacing w:after="0" w:line="193" w:lineRule="exact"/>
        <w:rPr>
          <w:sz w:val="20"/>
          <w:szCs w:val="20"/>
          <w:color w:val="auto"/>
        </w:rPr>
      </w:pPr>
    </w:p>
    <w:p>
      <w:pPr>
        <w:jc w:val="both"/>
        <w:ind w:left="520" w:hanging="517"/>
        <w:spacing w:after="0" w:line="257" w:lineRule="auto"/>
        <w:tabs>
          <w:tab w:leader="none" w:pos="500" w:val="left"/>
        </w:tabs>
        <w:rPr>
          <w:sz w:val="20"/>
          <w:szCs w:val="20"/>
          <w:color w:val="auto"/>
        </w:rPr>
      </w:pPr>
      <w:r>
        <w:rPr>
          <w:rFonts w:ascii="Times New Roman" w:cs="Times New Roman" w:eastAsia="Times New Roman" w:hAnsi="Times New Roman"/>
          <w:sz w:val="22"/>
          <w:szCs w:val="22"/>
          <w:color w:val="auto"/>
        </w:rPr>
        <w:t>1.3</w:t>
        <w:tab/>
        <w:t>The term “</w:t>
      </w:r>
      <w:r>
        <w:rPr>
          <w:rFonts w:ascii="Times New Roman" w:cs="Times New Roman" w:eastAsia="Times New Roman" w:hAnsi="Times New Roman"/>
          <w:sz w:val="22"/>
          <w:szCs w:val="22"/>
          <w:u w:val="single" w:color="auto"/>
          <w:color w:val="auto"/>
        </w:rPr>
        <w:t>Rules of Construction and Documentary Convention</w:t>
      </w:r>
      <w:r>
        <w:rPr>
          <w:rFonts w:ascii="Times New Roman" w:cs="Times New Roman" w:eastAsia="Times New Roman" w:hAnsi="Times New Roman"/>
          <w:sz w:val="22"/>
          <w:szCs w:val="22"/>
          <w:color w:val="auto"/>
        </w:rPr>
        <w:t>” as used in this Agreement means those certain Rules of Construction and Documentary Convention attached to the FP Master Agreement and the FA Master Agreement, as applicable, commencing from Section 2.1 therein.</w:t>
      </w:r>
    </w:p>
    <w:p>
      <w:pPr>
        <w:spacing w:after="0" w:line="173" w:lineRule="exact"/>
        <w:rPr>
          <w:sz w:val="20"/>
          <w:szCs w:val="20"/>
          <w:color w:val="auto"/>
        </w:rPr>
      </w:pPr>
    </w:p>
    <w:p>
      <w:pPr>
        <w:jc w:val="both"/>
        <w:ind w:left="520" w:right="20" w:hanging="517"/>
        <w:spacing w:after="0" w:line="271" w:lineRule="auto"/>
        <w:tabs>
          <w:tab w:leader="none" w:pos="500" w:val="left"/>
        </w:tabs>
        <w:rPr>
          <w:sz w:val="20"/>
          <w:szCs w:val="20"/>
          <w:color w:val="auto"/>
        </w:rPr>
      </w:pPr>
      <w:r>
        <w:rPr>
          <w:rFonts w:ascii="Times New Roman" w:cs="Times New Roman" w:eastAsia="Times New Roman" w:hAnsi="Times New Roman"/>
          <w:sz w:val="22"/>
          <w:szCs w:val="22"/>
          <w:color w:val="auto"/>
        </w:rPr>
        <w:t>1.4</w:t>
        <w:tab/>
        <w:t>The term “</w:t>
      </w:r>
      <w:r>
        <w:rPr>
          <w:rFonts w:ascii="Times New Roman" w:cs="Times New Roman" w:eastAsia="Times New Roman" w:hAnsi="Times New Roman"/>
          <w:sz w:val="22"/>
          <w:szCs w:val="22"/>
          <w:u w:val="single" w:color="auto"/>
          <w:color w:val="auto"/>
        </w:rPr>
        <w:t>R/W</w:t>
      </w:r>
      <w:r>
        <w:rPr>
          <w:rFonts w:ascii="Times New Roman" w:cs="Times New Roman" w:eastAsia="Times New Roman" w:hAnsi="Times New Roman"/>
          <w:sz w:val="22"/>
          <w:szCs w:val="22"/>
          <w:color w:val="auto"/>
        </w:rPr>
        <w:t>” as used in this Agreement refers to certain 3D Memory Products and has the meaning set forth in the 3D Collaboration Agreement.</w:t>
      </w:r>
    </w:p>
    <w:p>
      <w:pPr>
        <w:sectPr>
          <w:pgSz w:w="11900" w:h="16838" w:orient="portrait"/>
          <w:cols w:equalWidth="0" w:num="1">
            <w:col w:w="10580"/>
          </w:cols>
          <w:pgMar w:left="980" w:top="1440" w:right="339" w:bottom="110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580"/>
          </w:cols>
          <w:pgMar w:left="980" w:top="1440" w:right="339" w:bottom="1106" w:gutter="0" w:footer="0" w:header="0"/>
          <w:type w:val="continuous"/>
        </w:sectPr>
      </w:pPr>
    </w:p>
    <w:bookmarkStart w:id="68" w:name="page69"/>
    <w:bookmarkEnd w:id="68"/>
    <w:p>
      <w:pPr>
        <w:spacing w:after="0" w:line="200" w:lineRule="exact"/>
        <w:rPr>
          <w:sz w:val="20"/>
          <w:szCs w:val="20"/>
          <w:color w:val="auto"/>
        </w:rPr>
      </w:pPr>
    </w:p>
    <w:p>
      <w:pPr>
        <w:spacing w:after="0" w:line="33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NAND</w:t>
      </w:r>
      <w:r>
        <w:rPr>
          <w:rFonts w:ascii="Times New Roman" w:cs="Times New Roman" w:eastAsia="Times New Roman" w:hAnsi="Times New Roman"/>
          <w:sz w:val="21"/>
          <w:szCs w:val="21"/>
          <w:color w:val="auto"/>
        </w:rPr>
        <w:t>” as used in this Agreement means NAND Flash Memory Products.</w:t>
      </w:r>
    </w:p>
    <w:p>
      <w:pPr>
        <w:spacing w:after="0" w:line="220" w:lineRule="exact"/>
        <w:rPr>
          <w:sz w:val="20"/>
          <w:szCs w:val="20"/>
          <w:color w:val="auto"/>
        </w:rPr>
      </w:pPr>
    </w:p>
    <w:p>
      <w:pPr>
        <w:jc w:val="both"/>
        <w:ind w:left="1160" w:right="20" w:hanging="517"/>
        <w:spacing w:after="0" w:line="284" w:lineRule="auto"/>
        <w:tabs>
          <w:tab w:leader="none" w:pos="1140" w:val="left"/>
        </w:tabs>
        <w:rPr>
          <w:sz w:val="20"/>
          <w:szCs w:val="20"/>
          <w:color w:val="auto"/>
        </w:rPr>
      </w:pPr>
      <w:r>
        <w:rPr>
          <w:rFonts w:ascii="Times New Roman" w:cs="Times New Roman" w:eastAsia="Times New Roman" w:hAnsi="Times New Roman"/>
          <w:sz w:val="22"/>
          <w:szCs w:val="22"/>
          <w:color w:val="auto"/>
        </w:rPr>
        <w:t>1.6</w:t>
        <w:tab/>
        <w:t>The term [***] as used in this Agreement means (i) the requirements of [***] of the FP Master Agreement, (ii) the requirements of [***] of the FA Master Agreement and (iii) the [***].</w:t>
      </w:r>
    </w:p>
    <w:p>
      <w:pPr>
        <w:spacing w:after="0" w:line="144" w:lineRule="exact"/>
        <w:rPr>
          <w:sz w:val="20"/>
          <w:szCs w:val="20"/>
          <w:color w:val="auto"/>
        </w:rPr>
      </w:pPr>
    </w:p>
    <w:p>
      <w:pPr>
        <w:jc w:val="both"/>
        <w:ind w:left="1180" w:hanging="517"/>
        <w:spacing w:after="0" w:line="257" w:lineRule="auto"/>
        <w:tabs>
          <w:tab w:leader="none" w:pos="1160" w:val="left"/>
        </w:tabs>
        <w:rPr>
          <w:sz w:val="20"/>
          <w:szCs w:val="20"/>
          <w:color w:val="auto"/>
        </w:rPr>
      </w:pPr>
      <w:r>
        <w:rPr>
          <w:rFonts w:ascii="Times New Roman" w:cs="Times New Roman" w:eastAsia="Times New Roman" w:hAnsi="Times New Roman"/>
          <w:sz w:val="22"/>
          <w:szCs w:val="22"/>
          <w:color w:val="auto"/>
        </w:rPr>
        <w:t>1.7</w:t>
        <w:tab/>
        <w:t>The term “</w:t>
      </w:r>
      <w:r>
        <w:rPr>
          <w:rFonts w:ascii="Times New Roman" w:cs="Times New Roman" w:eastAsia="Times New Roman" w:hAnsi="Times New Roman"/>
          <w:sz w:val="22"/>
          <w:szCs w:val="22"/>
          <w:u w:val="single" w:color="auto"/>
          <w:color w:val="auto"/>
        </w:rPr>
        <w:t>Y3 Facility</w:t>
      </w:r>
      <w:r>
        <w:rPr>
          <w:rFonts w:ascii="Times New Roman" w:cs="Times New Roman" w:eastAsia="Times New Roman" w:hAnsi="Times New Roman"/>
          <w:sz w:val="22"/>
          <w:szCs w:val="22"/>
          <w:color w:val="auto"/>
        </w:rPr>
        <w:t>” as used in this Agreement means that facility located at Yokkaichi, Mie, Japan which, following the consummation of the Transactions, shall consist of FP equipment and production and Toshiba equipment and production.</w:t>
      </w:r>
    </w:p>
    <w:p>
      <w:pPr>
        <w:spacing w:after="0" w:line="173" w:lineRule="exact"/>
        <w:rPr>
          <w:sz w:val="20"/>
          <w:szCs w:val="20"/>
          <w:color w:val="auto"/>
        </w:rPr>
      </w:pPr>
    </w:p>
    <w:p>
      <w:pPr>
        <w:jc w:val="both"/>
        <w:ind w:left="1180" w:right="20" w:hanging="517"/>
        <w:spacing w:after="0" w:line="263" w:lineRule="auto"/>
        <w:tabs>
          <w:tab w:leader="none" w:pos="1160" w:val="left"/>
        </w:tabs>
        <w:rPr>
          <w:sz w:val="20"/>
          <w:szCs w:val="20"/>
          <w:color w:val="auto"/>
        </w:rPr>
      </w:pPr>
      <w:r>
        <w:rPr>
          <w:rFonts w:ascii="Times New Roman" w:cs="Times New Roman" w:eastAsia="Times New Roman" w:hAnsi="Times New Roman"/>
          <w:sz w:val="22"/>
          <w:szCs w:val="22"/>
          <w:color w:val="auto"/>
        </w:rPr>
        <w:t>1.8</w:t>
        <w:tab/>
        <w:t>The term “</w:t>
      </w:r>
      <w:r>
        <w:rPr>
          <w:rFonts w:ascii="Times New Roman" w:cs="Times New Roman" w:eastAsia="Times New Roman" w:hAnsi="Times New Roman"/>
          <w:sz w:val="22"/>
          <w:szCs w:val="22"/>
          <w:u w:val="single" w:color="auto"/>
          <w:color w:val="auto"/>
        </w:rPr>
        <w:t>Y4 Facility</w:t>
      </w:r>
      <w:r>
        <w:rPr>
          <w:rFonts w:ascii="Times New Roman" w:cs="Times New Roman" w:eastAsia="Times New Roman" w:hAnsi="Times New Roman"/>
          <w:sz w:val="22"/>
          <w:szCs w:val="22"/>
          <w:color w:val="auto"/>
        </w:rPr>
        <w:t>” as used in this Agreement means that facility located at Yokkaichi, Mie, Japan which, following the consummation of the Transactions, shall consist of FA equipment and production and Toshiba equipment and production.</w:t>
      </w:r>
    </w:p>
    <w:p>
      <w:pPr>
        <w:spacing w:after="0" w:line="167" w:lineRule="exact"/>
        <w:rPr>
          <w:sz w:val="20"/>
          <w:szCs w:val="20"/>
          <w:color w:val="auto"/>
        </w:rPr>
      </w:pPr>
    </w:p>
    <w:p>
      <w:pPr>
        <w:jc w:val="both"/>
        <w:ind w:left="1180" w:hanging="517"/>
        <w:spacing w:after="0" w:line="257" w:lineRule="auto"/>
        <w:tabs>
          <w:tab w:leader="none" w:pos="1160" w:val="left"/>
        </w:tabs>
        <w:rPr>
          <w:sz w:val="20"/>
          <w:szCs w:val="20"/>
          <w:color w:val="auto"/>
        </w:rPr>
      </w:pPr>
      <w:r>
        <w:rPr>
          <w:rFonts w:ascii="Times New Roman" w:cs="Times New Roman" w:eastAsia="Times New Roman" w:hAnsi="Times New Roman"/>
          <w:sz w:val="22"/>
          <w:szCs w:val="22"/>
          <w:color w:val="auto"/>
        </w:rPr>
        <w:t>1.9</w:t>
        <w:tab/>
        <w:t xml:space="preserve">Capitalized terms not otherwise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have the meanings assigned to them in the Equipment Purchase Agreement, the FP Agreements, the FA Agreements and/or the 3D Collaboration Agreement as the context requires.</w:t>
      </w:r>
    </w:p>
    <w:p>
      <w:pPr>
        <w:spacing w:after="0" w:line="15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Transactions.</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Transactions and Deliveries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180" w:hanging="524"/>
        <w:spacing w:after="0" w:line="251" w:lineRule="auto"/>
        <w:tabs>
          <w:tab w:leader="none" w:pos="113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Basic Transactions</w:t>
      </w:r>
      <w:r>
        <w:rPr>
          <w:rFonts w:ascii="Times New Roman" w:cs="Times New Roman" w:eastAsia="Times New Roman" w:hAnsi="Times New Roman"/>
          <w:sz w:val="22"/>
          <w:szCs w:val="22"/>
          <w:color w:val="auto"/>
        </w:rPr>
        <w:t>. Subject to and on the terms and conditions set forth in this Agreement, the Equipment Purchase Agreement, the Foundry Agreement, any amendments to the Joint Venture Agreements including any Joint Venture equipment lease agreements and other agreements signed of even date herewith (collectively, the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xml:space="preserve">”) the Parties agree to effect the transactions set forth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all of which shall be considered binding as of, and to occur on, the date hereof unless the date for actual performance is otherwise stipulated:</w:t>
      </w:r>
    </w:p>
    <w:p>
      <w:pPr>
        <w:spacing w:after="0" w:line="181" w:lineRule="exact"/>
        <w:rPr>
          <w:rFonts w:ascii="Times New Roman" w:cs="Times New Roman" w:eastAsia="Times New Roman" w:hAnsi="Times New Roman"/>
          <w:sz w:val="22"/>
          <w:szCs w:val="22"/>
          <w:color w:val="auto"/>
        </w:rPr>
      </w:pPr>
    </w:p>
    <w:p>
      <w:pPr>
        <w:ind w:left="1980" w:right="20" w:hanging="529"/>
        <w:spacing w:after="0" w:line="271" w:lineRule="auto"/>
        <w:tabs>
          <w:tab w:leader="none" w:pos="187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Committed Capacity Transfer</w:t>
      </w:r>
      <w:r>
        <w:rPr>
          <w:rFonts w:ascii="Times New Roman" w:cs="Times New Roman" w:eastAsia="Times New Roman" w:hAnsi="Times New Roman"/>
          <w:sz w:val="22"/>
          <w:szCs w:val="22"/>
          <w:color w:val="auto"/>
        </w:rPr>
        <w:t>. Toshiba shall acquire approximately [***] of the current production capacity of each of FP and FA for NAND Memory Products as set forth in Article 4 below; and</w:t>
      </w:r>
    </w:p>
    <w:p>
      <w:pPr>
        <w:spacing w:after="0" w:line="157" w:lineRule="exact"/>
        <w:rPr>
          <w:rFonts w:ascii="Times New Roman" w:cs="Times New Roman" w:eastAsia="Times New Roman" w:hAnsi="Times New Roman"/>
          <w:sz w:val="22"/>
          <w:szCs w:val="22"/>
          <w:color w:val="auto"/>
        </w:rPr>
      </w:pPr>
    </w:p>
    <w:p>
      <w:pPr>
        <w:jc w:val="both"/>
        <w:ind w:left="1980" w:hanging="529"/>
        <w:spacing w:after="0" w:line="256" w:lineRule="auto"/>
        <w:tabs>
          <w:tab w:leader="none" w:pos="213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Toshiba Equipment Purchase</w:t>
      </w:r>
      <w:r>
        <w:rPr>
          <w:rFonts w:ascii="Times New Roman" w:cs="Times New Roman" w:eastAsia="Times New Roman" w:hAnsi="Times New Roman"/>
          <w:sz w:val="22"/>
          <w:szCs w:val="22"/>
          <w:color w:val="auto"/>
        </w:rPr>
        <w:t>. Upon the terms and conditions set forth in the Equipment Purchase Agreement, Toshiba shall acquire owned equipment representing approximately [***] of the capacity of each of FP and FA and leased equipment representing approximately [***] of the capacity of each of FP and FA (the “</w:t>
      </w: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980" w:right="20" w:hanging="529"/>
        <w:spacing w:after="0" w:line="271" w:lineRule="auto"/>
        <w:tabs>
          <w:tab w:leader="none" w:pos="206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Foundry Option</w:t>
      </w:r>
      <w:r>
        <w:rPr>
          <w:rFonts w:ascii="Times New Roman" w:cs="Times New Roman" w:eastAsia="Times New Roman" w:hAnsi="Times New Roman"/>
          <w:sz w:val="22"/>
          <w:szCs w:val="22"/>
          <w:color w:val="auto"/>
        </w:rPr>
        <w:t>. Toshiba and SanDisk shall enter into the Foundry Agreement pursuant to which, until [***], SanDisk will have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to purchase NAND Memory Products on the terms and conditions set forth therein.</w:t>
      </w:r>
    </w:p>
    <w:p>
      <w:pPr>
        <w:spacing w:after="0" w:line="220" w:lineRule="exact"/>
        <w:rPr>
          <w:sz w:val="20"/>
          <w:szCs w:val="20"/>
          <w:color w:val="auto"/>
        </w:rPr>
      </w:pPr>
    </w:p>
    <w:p>
      <w:pPr>
        <w:jc w:val="both"/>
        <w:ind w:left="1980" w:hanging="529"/>
        <w:spacing w:after="0" w:line="256" w:lineRule="auto"/>
        <w:tabs>
          <w:tab w:leader="none" w:pos="2146"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SanDisk Conversion Option</w:t>
      </w:r>
      <w:r>
        <w:rPr>
          <w:rFonts w:ascii="Times New Roman" w:cs="Times New Roman" w:eastAsia="Times New Roman" w:hAnsi="Times New Roman"/>
          <w:sz w:val="22"/>
          <w:szCs w:val="22"/>
          <w:color w:val="auto"/>
        </w:rPr>
        <w:t xml:space="preserve">. Subject to Toshiba’s consent, to be granted or withheld at the time of exercise, SanDisk will have the option to cause FP and FA to reacquire a portion of the production capacity and Equipment being transferred to Toshiba pursuant to this Agreement and the Equipment Purchase Agreement, as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below.</w:t>
      </w:r>
    </w:p>
    <w:p>
      <w:pPr>
        <w:spacing w:after="0" w:line="176" w:lineRule="exact"/>
        <w:rPr>
          <w:rFonts w:ascii="Times New Roman" w:cs="Times New Roman" w:eastAsia="Times New Roman" w:hAnsi="Times New Roman"/>
          <w:sz w:val="22"/>
          <w:szCs w:val="22"/>
          <w:color w:val="auto"/>
        </w:rPr>
      </w:pPr>
    </w:p>
    <w:p>
      <w:pPr>
        <w:ind w:left="1980" w:right="20" w:hanging="529"/>
        <w:spacing w:after="0" w:line="271" w:lineRule="auto"/>
        <w:tabs>
          <w:tab w:leader="none" w:pos="1951"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Joint Venture Agreements</w:t>
      </w:r>
      <w:r>
        <w:rPr>
          <w:rFonts w:ascii="Times New Roman" w:cs="Times New Roman" w:eastAsia="Times New Roman" w:hAnsi="Times New Roman"/>
          <w:sz w:val="22"/>
          <w:szCs w:val="22"/>
          <w:color w:val="auto"/>
        </w:rPr>
        <w:t>. The Parties agree that the Joint Venture Agreements are hereby amended to the extent necessary to conform to the provisions set forth herein.</w:t>
      </w:r>
    </w:p>
    <w:p>
      <w:pPr>
        <w:spacing w:after="0" w:line="171" w:lineRule="exact"/>
        <w:rPr>
          <w:rFonts w:ascii="Times New Roman" w:cs="Times New Roman" w:eastAsia="Times New Roman" w:hAnsi="Times New Roman"/>
          <w:sz w:val="22"/>
          <w:szCs w:val="22"/>
          <w:color w:val="auto"/>
        </w:rPr>
      </w:pPr>
    </w:p>
    <w:p>
      <w:pPr>
        <w:ind w:left="1980" w:right="20" w:hanging="529"/>
        <w:spacing w:after="0" w:line="295" w:lineRule="auto"/>
        <w:tabs>
          <w:tab w:leader="none" w:pos="2119"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Additional Capacity to Toshiba</w:t>
      </w:r>
      <w:r>
        <w:rPr>
          <w:rFonts w:ascii="Times New Roman" w:cs="Times New Roman" w:eastAsia="Times New Roman" w:hAnsi="Times New Roman"/>
          <w:sz w:val="21"/>
          <w:szCs w:val="21"/>
          <w:color w:val="auto"/>
        </w:rPr>
        <w:t xml:space="preserve">. The Parties may, if mutually agreed in [***], effect the transfer to Toshiba of additional capacity and owned equipment as provided in and subject to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ind w:left="1980" w:hanging="529"/>
        <w:spacing w:after="0" w:line="295" w:lineRule="auto"/>
        <w:tabs>
          <w:tab w:leader="none" w:pos="2071"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JV Ownership Interest Remains Unchanged</w:t>
      </w:r>
      <w:r>
        <w:rPr>
          <w:rFonts w:ascii="Times New Roman" w:cs="Times New Roman" w:eastAsia="Times New Roman" w:hAnsi="Times New Roman"/>
          <w:sz w:val="21"/>
          <w:szCs w:val="21"/>
          <w:color w:val="auto"/>
        </w:rPr>
        <w:t>. For the avoidance of doubt, nothing in this Agreement shall affect the Parties’ equity interests in each of FP and FA (i.e. 50.1% for Toshiba and 49.9% for SanDisk).</w:t>
      </w:r>
    </w:p>
    <w:p>
      <w:pPr>
        <w:spacing w:after="0" w:line="135" w:lineRule="exact"/>
        <w:rPr>
          <w:rFonts w:ascii="Times New Roman" w:cs="Times New Roman" w:eastAsia="Times New Roman" w:hAnsi="Times New Roman"/>
          <w:sz w:val="21"/>
          <w:szCs w:val="21"/>
          <w:color w:val="auto"/>
        </w:rPr>
      </w:pPr>
    </w:p>
    <w:p>
      <w:pPr>
        <w:ind w:left="1180" w:right="20" w:hanging="524"/>
        <w:spacing w:after="0" w:line="284" w:lineRule="auto"/>
        <w:tabs>
          <w:tab w:leader="none" w:pos="1143"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Deliveries</w:t>
      </w:r>
      <w:r>
        <w:rPr>
          <w:rFonts w:ascii="Times New Roman" w:cs="Times New Roman" w:eastAsia="Times New Roman" w:hAnsi="Times New Roman"/>
          <w:sz w:val="22"/>
          <w:szCs w:val="22"/>
          <w:color w:val="auto"/>
        </w:rPr>
        <w:t>. Each of the relevant Parties agrees to make the following deliveries to the other Parties at the time of the execution of this Agreement:</w:t>
      </w:r>
    </w:p>
    <w:p>
      <w:pPr>
        <w:spacing w:after="0" w:line="143" w:lineRule="exact"/>
        <w:rPr>
          <w:rFonts w:ascii="Times New Roman" w:cs="Times New Roman" w:eastAsia="Times New Roman" w:hAnsi="Times New Roman"/>
          <w:sz w:val="22"/>
          <w:szCs w:val="22"/>
          <w:color w:val="auto"/>
        </w:rPr>
      </w:pPr>
    </w:p>
    <w:p>
      <w:pPr>
        <w:ind w:left="1980" w:hanging="529"/>
        <w:spacing w:after="0" w:line="271" w:lineRule="auto"/>
        <w:tabs>
          <w:tab w:leader="none" w:pos="2062"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 originals of this Agreement duly executed by each of the Parties as of the date hereof concurrently with the execution of this Agreement;</w:t>
      </w:r>
    </w:p>
    <w:p>
      <w:pPr>
        <w:spacing w:after="0" w:line="157" w:lineRule="exact"/>
        <w:rPr>
          <w:rFonts w:ascii="Times New Roman" w:cs="Times New Roman" w:eastAsia="Times New Roman" w:hAnsi="Times New Roman"/>
          <w:sz w:val="22"/>
          <w:szCs w:val="22"/>
          <w:color w:val="auto"/>
        </w:rPr>
      </w:pPr>
    </w:p>
    <w:p>
      <w:pPr>
        <w:ind w:left="1980" w:hanging="529"/>
        <w:spacing w:after="0" w:line="271" w:lineRule="auto"/>
        <w:tabs>
          <w:tab w:leader="none" w:pos="2171"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 originals of the Equipment Purchase Agreement duly executed as of the date hereof concurrently with the execution and delivery of this Agreement; and</w:t>
      </w:r>
    </w:p>
    <w:p>
      <w:pPr>
        <w:spacing w:after="0" w:line="157" w:lineRule="exact"/>
        <w:rPr>
          <w:rFonts w:ascii="Times New Roman" w:cs="Times New Roman" w:eastAsia="Times New Roman" w:hAnsi="Times New Roman"/>
          <w:sz w:val="22"/>
          <w:szCs w:val="22"/>
          <w:color w:val="auto"/>
        </w:rPr>
      </w:pPr>
    </w:p>
    <w:p>
      <w:pPr>
        <w:ind w:left="1980" w:hanging="529"/>
        <w:spacing w:after="0" w:line="284" w:lineRule="auto"/>
        <w:tabs>
          <w:tab w:leader="none" w:pos="2034"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Counterpart originals of the Foundry Agreement (as provided for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below) duly executed by the Parties as of the date hereof concurrently with the execution and delivery of this Agreement.</w:t>
      </w:r>
    </w:p>
    <w:p>
      <w:pPr>
        <w:spacing w:after="0" w:line="11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 Equipment Acquisition Transactions</w:t>
      </w:r>
    </w:p>
    <w:p>
      <w:pPr>
        <w:spacing w:after="0" w:line="237" w:lineRule="exact"/>
        <w:rPr>
          <w:sz w:val="20"/>
          <w:szCs w:val="20"/>
          <w:color w:val="auto"/>
        </w:rPr>
      </w:pPr>
    </w:p>
    <w:p>
      <w:pPr>
        <w:ind w:left="1180" w:hanging="517"/>
        <w:spacing w:after="0" w:line="271" w:lineRule="auto"/>
        <w:tabs>
          <w:tab w:leader="none" w:pos="116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Capital Equipment Purchase by Toshiba</w:t>
      </w:r>
      <w:r>
        <w:rPr>
          <w:rFonts w:ascii="Times New Roman" w:cs="Times New Roman" w:eastAsia="Times New Roman" w:hAnsi="Times New Roman"/>
          <w:sz w:val="22"/>
          <w:szCs w:val="22"/>
          <w:color w:val="auto"/>
        </w:rPr>
        <w:t>. Upon the terms and subject to the conditions set forth in the Equipment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Purchase Agreement, Toshiba shall acquire the Equipment.</w:t>
      </w:r>
    </w:p>
    <w:p>
      <w:pPr>
        <w:spacing w:after="0" w:line="158" w:lineRule="exact"/>
        <w:rPr>
          <w:sz w:val="20"/>
          <w:szCs w:val="20"/>
          <w:color w:val="auto"/>
        </w:rPr>
      </w:pPr>
    </w:p>
    <w:p>
      <w:pPr>
        <w:ind w:left="1160" w:hanging="517"/>
        <w:spacing w:after="0" w:line="295" w:lineRule="auto"/>
        <w:tabs>
          <w:tab w:leader="none" w:pos="11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Use of Proceeds by Joint Ventures</w:t>
      </w:r>
      <w:r>
        <w:rPr>
          <w:rFonts w:ascii="Times New Roman" w:cs="Times New Roman" w:eastAsia="Times New Roman" w:hAnsi="Times New Roman"/>
          <w:sz w:val="21"/>
          <w:szCs w:val="21"/>
          <w:color w:val="auto"/>
        </w:rPr>
        <w:t>. The Parties shall cause each of FP and FA upon receipt of proceeds to payoff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pay down (on an equal pro-rata basis) loans from its shareholders with the proceeds realized from the sale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336" w:lineRule="exact"/>
        <w:rPr>
          <w:sz w:val="20"/>
          <w:szCs w:val="20"/>
          <w:color w:val="auto"/>
        </w:rPr>
      </w:pPr>
    </w:p>
    <w:p>
      <w:pPr>
        <w:jc w:val="both"/>
        <w:ind w:left="1180"/>
        <w:spacing w:after="0" w:line="263" w:lineRule="auto"/>
        <w:rPr>
          <w:sz w:val="20"/>
          <w:szCs w:val="20"/>
          <w:color w:val="auto"/>
        </w:rPr>
      </w:pPr>
      <w:r>
        <w:rPr>
          <w:rFonts w:ascii="Times New Roman" w:cs="Times New Roman" w:eastAsia="Times New Roman" w:hAnsi="Times New Roman"/>
          <w:sz w:val="22"/>
          <w:szCs w:val="22"/>
          <w:color w:val="auto"/>
        </w:rPr>
        <w:t>Equipment. Subject to further mutual agreement of the Parties, any remaining funds will be retained in FP and FA for technology transitions and capacity expansions, or otherwise used to return equity investments made in FP and FA by the shareholders.</w:t>
      </w:r>
    </w:p>
    <w:p>
      <w:pPr>
        <w:spacing w:after="0" w:line="13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Allocation of Capacity to Toshiba</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Allocation of Current Capacity to Toshiba; Allocation of Fab Lot Output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180" w:hanging="524"/>
        <w:spacing w:after="0" w:line="256" w:lineRule="auto"/>
        <w:tabs>
          <w:tab w:leader="none" w:pos="113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Toshiba Capacity</w:t>
      </w:r>
      <w:r>
        <w:rPr>
          <w:rFonts w:ascii="Times New Roman" w:cs="Times New Roman" w:eastAsia="Times New Roman" w:hAnsi="Times New Roman"/>
          <w:sz w:val="22"/>
          <w:szCs w:val="22"/>
          <w:color w:val="auto"/>
        </w:rPr>
        <w:t xml:space="preserve">. Pursuant to the implementation schedule set forth in </w:t>
      </w:r>
      <w:r>
        <w:rPr>
          <w:rFonts w:ascii="Times New Roman" w:cs="Times New Roman" w:eastAsia="Times New Roman" w:hAnsi="Times New Roman"/>
          <w:sz w:val="22"/>
          <w:szCs w:val="22"/>
          <w:u w:val="single" w:color="auto"/>
          <w:color w:val="auto"/>
        </w:rPr>
        <w:t>Section 4.1(c)</w:t>
      </w:r>
      <w:r>
        <w:rPr>
          <w:rFonts w:ascii="Times New Roman" w:cs="Times New Roman" w:eastAsia="Times New Roman" w:hAnsi="Times New Roman"/>
          <w:sz w:val="22"/>
          <w:szCs w:val="22"/>
          <w:color w:val="auto"/>
        </w:rPr>
        <w:t xml:space="preserve"> below, the Parties shall allocate to Toshiba, and Toshiba shall acquire, approximately [***] of the pre-restructuring production capacity (and related Equipment) from each of FP and FA, [***]. Such initial allocation in the percentages set forth on </w:t>
      </w:r>
      <w:r>
        <w:rPr>
          <w:rFonts w:ascii="Times New Roman" w:cs="Times New Roman" w:eastAsia="Times New Roman" w:hAnsi="Times New Roman"/>
          <w:sz w:val="22"/>
          <w:szCs w:val="22"/>
          <w:u w:val="single" w:color="auto"/>
          <w:color w:val="auto"/>
        </w:rPr>
        <w:t>Schedule 4.1(a)</w:t>
      </w:r>
      <w:r>
        <w:rPr>
          <w:rFonts w:ascii="Times New Roman" w:cs="Times New Roman" w:eastAsia="Times New Roman" w:hAnsi="Times New Roman"/>
          <w:sz w:val="22"/>
          <w:szCs w:val="22"/>
          <w:color w:val="auto"/>
        </w:rPr>
        <w:t xml:space="preserve"> shall be referred to herein as the [***].</w:t>
      </w:r>
    </w:p>
    <w:p>
      <w:pPr>
        <w:spacing w:after="0" w:line="17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Output Allocation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80" w:hanging="529"/>
        <w:spacing w:after="0" w:line="257" w:lineRule="auto"/>
        <w:tabs>
          <w:tab w:leader="none" w:pos="1889"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described in </w:t>
      </w:r>
      <w:r>
        <w:rPr>
          <w:rFonts w:ascii="Times New Roman" w:cs="Times New Roman" w:eastAsia="Times New Roman" w:hAnsi="Times New Roman"/>
          <w:sz w:val="22"/>
          <w:szCs w:val="22"/>
          <w:u w:val="single" w:color="auto"/>
          <w:color w:val="auto"/>
        </w:rPr>
        <w:t>Section 4.1(b)(ii)</w:t>
      </w:r>
      <w:r>
        <w:rPr>
          <w:rFonts w:ascii="Times New Roman" w:cs="Times New Roman" w:eastAsia="Times New Roman" w:hAnsi="Times New Roman"/>
          <w:sz w:val="22"/>
          <w:szCs w:val="22"/>
          <w:color w:val="auto"/>
        </w:rPr>
        <w:t xml:space="preserve">, the actual monthly lot output from each of the Y3 Facility and the Y4 Facility shall be allocated between Toshiba and FP or FA, as applicable, based on [***] and the applicable [***], as set forth in </w:t>
      </w:r>
      <w:r>
        <w:rPr>
          <w:rFonts w:ascii="Times New Roman" w:cs="Times New Roman" w:eastAsia="Times New Roman" w:hAnsi="Times New Roman"/>
          <w:sz w:val="22"/>
          <w:szCs w:val="22"/>
          <w:u w:val="single" w:color="auto"/>
          <w:color w:val="auto"/>
        </w:rPr>
        <w:t>Schedule 4.1(b)(i)</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1980" w:hanging="529"/>
        <w:spacing w:after="0" w:line="257" w:lineRule="auto"/>
        <w:tabs>
          <w:tab w:leader="none" w:pos="2054"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any month during which the planned production of any of FP, FA or the Toshiba Capacity, as applicable, [***], as defined in </w:t>
      </w:r>
      <w:r>
        <w:rPr>
          <w:rFonts w:ascii="Times New Roman" w:cs="Times New Roman" w:eastAsia="Times New Roman" w:hAnsi="Times New Roman"/>
          <w:sz w:val="22"/>
          <w:szCs w:val="22"/>
          <w:u w:val="single" w:color="auto"/>
          <w:color w:val="auto"/>
        </w:rPr>
        <w:t>Schedule 4.1(b)(i)</w:t>
      </w:r>
      <w:r>
        <w:rPr>
          <w:rFonts w:ascii="Times New Roman" w:cs="Times New Roman" w:eastAsia="Times New Roman" w:hAnsi="Times New Roman"/>
          <w:sz w:val="22"/>
          <w:szCs w:val="22"/>
          <w:color w:val="auto"/>
        </w:rPr>
        <w:t>, the Parties (as between the Joint Ventures and Toshiba) shall be [***].</w:t>
      </w:r>
    </w:p>
    <w:p>
      <w:pPr>
        <w:spacing w:after="0" w:line="172" w:lineRule="exact"/>
        <w:rPr>
          <w:rFonts w:ascii="Times New Roman" w:cs="Times New Roman" w:eastAsia="Times New Roman" w:hAnsi="Times New Roman"/>
          <w:sz w:val="22"/>
          <w:szCs w:val="22"/>
          <w:color w:val="auto"/>
        </w:rPr>
      </w:pPr>
    </w:p>
    <w:p>
      <w:pPr>
        <w:jc w:val="both"/>
        <w:ind w:left="1180" w:hanging="524"/>
        <w:spacing w:after="0" w:line="253" w:lineRule="auto"/>
        <w:tabs>
          <w:tab w:leader="none" w:pos="119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Implementation Schedule</w:t>
      </w:r>
      <w:r>
        <w:rPr>
          <w:rFonts w:ascii="Times New Roman" w:cs="Times New Roman" w:eastAsia="Times New Roman" w:hAnsi="Times New Roman"/>
          <w:sz w:val="22"/>
          <w:szCs w:val="22"/>
          <w:color w:val="auto"/>
        </w:rPr>
        <w:t xml:space="preserve">. The capacity associated with each Equipment transfer contemplated by the Equipment Purchase Agreement shall transfer at the time of Toshiba’s acquisition of the related Equipment, subject, however, to Section 3.6 of the Equipment Purchase Agreement. Subject to </w:t>
      </w:r>
      <w:r>
        <w:rPr>
          <w:rFonts w:ascii="Times New Roman" w:cs="Times New Roman" w:eastAsia="Times New Roman" w:hAnsi="Times New Roman"/>
          <w:sz w:val="22"/>
          <w:szCs w:val="22"/>
          <w:u w:val="single" w:color="auto"/>
          <w:color w:val="auto"/>
        </w:rPr>
        <w:t>Sections 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3.7(a)</w:t>
      </w:r>
      <w:r>
        <w:rPr>
          <w:rFonts w:ascii="Times New Roman" w:cs="Times New Roman" w:eastAsia="Times New Roman" w:hAnsi="Times New Roman"/>
          <w:sz w:val="22"/>
          <w:szCs w:val="22"/>
          <w:color w:val="auto"/>
        </w:rPr>
        <w:t xml:space="preserve"> of the Equipment Purchase Agreement, depreciation and lease costs associated with the transferred equipment or capacity shall be borne by Toshiba immediately after the date of Toshiba’s acquisition of the related Equipment.</w:t>
      </w:r>
    </w:p>
    <w:p>
      <w:pPr>
        <w:spacing w:after="0" w:line="17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in Process Inventory</w:t>
      </w:r>
      <w:r>
        <w:rPr>
          <w:rFonts w:ascii="Times New Roman" w:cs="Times New Roman" w:eastAsia="Times New Roman" w:hAnsi="Times New Roman"/>
          <w:sz w:val="22"/>
          <w:szCs w:val="22"/>
          <w:color w:val="auto"/>
        </w:rPr>
        <w:t>. [***].</w:t>
      </w:r>
    </w:p>
    <w:p>
      <w:pPr>
        <w:spacing w:after="0" w:line="219" w:lineRule="exact"/>
        <w:rPr>
          <w:rFonts w:ascii="Times New Roman" w:cs="Times New Roman" w:eastAsia="Times New Roman" w:hAnsi="Times New Roman"/>
          <w:sz w:val="22"/>
          <w:szCs w:val="22"/>
          <w:color w:val="auto"/>
        </w:rPr>
      </w:pPr>
    </w:p>
    <w:p>
      <w:pPr>
        <w:ind w:left="1880" w:hanging="429"/>
        <w:spacing w:after="0"/>
        <w:tabs>
          <w:tab w:leader="none" w:pos="18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489"/>
        <w:spacing w:after="0"/>
        <w:tabs>
          <w:tab w:leader="none" w:pos="194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000" w:hanging="549"/>
        <w:spacing w:after="0"/>
        <w:tabs>
          <w:tab w:leader="none" w:pos="200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80" w:hanging="529"/>
        <w:spacing w:after="0"/>
        <w:tabs>
          <w:tab w:leader="none" w:pos="19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of Joint Venture Agreements, Future Technology Transaction and Expansion of Capacity</w:t>
      </w:r>
    </w:p>
    <w:p>
      <w:pPr>
        <w:spacing w:after="0" w:line="21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Operations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200" w:lineRule="exact"/>
        <w:rPr>
          <w:sz w:val="20"/>
          <w:szCs w:val="20"/>
          <w:color w:val="auto"/>
        </w:rPr>
      </w:pPr>
    </w:p>
    <w:p>
      <w:pPr>
        <w:spacing w:after="0" w:line="336" w:lineRule="exact"/>
        <w:rPr>
          <w:sz w:val="20"/>
          <w:szCs w:val="20"/>
          <w:color w:val="auto"/>
        </w:rPr>
      </w:pPr>
    </w:p>
    <w:p>
      <w:pPr>
        <w:ind w:left="464" w:hanging="464"/>
        <w:spacing w:after="0"/>
        <w:tabs>
          <w:tab w:leader="none" w:pos="4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Operational Effects from Toshiba Capacity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24" w:hanging="529"/>
        <w:spacing w:after="0" w:line="253" w:lineRule="auto"/>
        <w:tabs>
          <w:tab w:leader="none" w:pos="129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or necessary to implement the Transaction Agreements, the FA, FP and Toshiba Capacity equipment in the Y3 and Y4 Facilities will be [***]. There will be no change in the fabs’ operating methods, engineering, production control processes, access, financial, investment or operational transparency, or otherwise as a result of the inclusion of the Toshiba Capacity in the Y3 Facility and the Y4 Facility.</w:t>
      </w:r>
    </w:p>
    <w:p>
      <w:pPr>
        <w:spacing w:after="0" w:line="178" w:lineRule="exact"/>
        <w:rPr>
          <w:rFonts w:ascii="Times New Roman" w:cs="Times New Roman" w:eastAsia="Times New Roman" w:hAnsi="Times New Roman"/>
          <w:sz w:val="22"/>
          <w:szCs w:val="22"/>
          <w:color w:val="auto"/>
        </w:rPr>
      </w:pPr>
    </w:p>
    <w:p>
      <w:pPr>
        <w:jc w:val="both"/>
        <w:ind w:left="1324" w:hanging="529"/>
        <w:spacing w:after="0" w:line="281" w:lineRule="auto"/>
        <w:tabs>
          <w:tab w:leader="none" w:pos="1339"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Toshiba Capacity in the Y3 and Y4 Facility, Toshiba will provide to the applicable Joint Venture [***], including but not limited to [***]. Notwithstanding the foregoing, Toshiba shall have sole discretion over the use and disposition of the equipment representing the Toshiba Capacity, provided [***].</w:t>
      </w:r>
    </w:p>
    <w:p>
      <w:pPr>
        <w:spacing w:after="0" w:line="150" w:lineRule="exact"/>
        <w:rPr>
          <w:rFonts w:ascii="Times New Roman" w:cs="Times New Roman" w:eastAsia="Times New Roman" w:hAnsi="Times New Roman"/>
          <w:sz w:val="21"/>
          <w:szCs w:val="21"/>
          <w:color w:val="auto"/>
        </w:rPr>
      </w:pPr>
    </w:p>
    <w:p>
      <w:pPr>
        <w:ind w:left="524" w:right="20" w:hanging="524"/>
        <w:spacing w:after="0" w:line="271" w:lineRule="auto"/>
        <w:tabs>
          <w:tab w:leader="none" w:pos="47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Improvements Not Related to Expansion</w:t>
      </w:r>
      <w:r>
        <w:rPr>
          <w:rFonts w:ascii="Times New Roman" w:cs="Times New Roman" w:eastAsia="Times New Roman" w:hAnsi="Times New Roman"/>
          <w:sz w:val="22"/>
          <w:szCs w:val="22"/>
          <w:color w:val="auto"/>
        </w:rPr>
        <w:t>. To the extent practical and commercially feasible, each of the Parties shall use commercially reasonable efforts to enhance the [***] of the Y3 and Y4 Facilities.</w:t>
      </w:r>
    </w:p>
    <w:p>
      <w:pPr>
        <w:spacing w:after="0" w:line="157" w:lineRule="exact"/>
        <w:rPr>
          <w:rFonts w:ascii="Times New Roman" w:cs="Times New Roman" w:eastAsia="Times New Roman" w:hAnsi="Times New Roman"/>
          <w:sz w:val="22"/>
          <w:szCs w:val="22"/>
          <w:color w:val="auto"/>
        </w:rPr>
      </w:pPr>
    </w:p>
    <w:p>
      <w:pPr>
        <w:jc w:val="both"/>
        <w:ind w:left="524" w:hanging="524"/>
        <w:spacing w:after="0" w:line="263" w:lineRule="auto"/>
        <w:tabs>
          <w:tab w:leader="none" w:pos="50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Incentives</w:t>
      </w:r>
      <w:r>
        <w:rPr>
          <w:rFonts w:ascii="Times New Roman" w:cs="Times New Roman" w:eastAsia="Times New Roman" w:hAnsi="Times New Roman"/>
          <w:sz w:val="22"/>
          <w:szCs w:val="22"/>
          <w:color w:val="auto"/>
        </w:rPr>
        <w:t>. All governmental incentives (financial or otherwise) received with respect to the Y4 Facility (including any Toshiba Capacity) shall be disclosed and the Parties will discuss such incentives and the sharing thereof based on the type of incentives.</w:t>
      </w:r>
    </w:p>
    <w:p>
      <w:pPr>
        <w:spacing w:after="0" w:line="167"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Expansion and Transition of Capacity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524" w:hanging="524"/>
        <w:spacing w:after="0" w:line="257" w:lineRule="auto"/>
        <w:tabs>
          <w:tab w:leader="none" w:pos="48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 [***] Expansion</w:t>
      </w:r>
      <w:r>
        <w:rPr>
          <w:rFonts w:ascii="Times New Roman" w:cs="Times New Roman" w:eastAsia="Times New Roman" w:hAnsi="Times New Roman"/>
          <w:sz w:val="22"/>
          <w:szCs w:val="22"/>
          <w:color w:val="auto"/>
        </w:rPr>
        <w:t xml:space="preserve">. Except as provided in this Section, the terms of </w:t>
      </w:r>
      <w:r>
        <w:rPr>
          <w:rFonts w:ascii="Times New Roman" w:cs="Times New Roman" w:eastAsia="Times New Roman" w:hAnsi="Times New Roman"/>
          <w:sz w:val="22"/>
          <w:szCs w:val="22"/>
          <w:u w:val="single" w:color="auto"/>
          <w:color w:val="auto"/>
        </w:rPr>
        <w:t>Section 6.3(c)(iv)</w:t>
      </w:r>
      <w:r>
        <w:rPr>
          <w:rFonts w:ascii="Times New Roman" w:cs="Times New Roman" w:eastAsia="Times New Roman" w:hAnsi="Times New Roman"/>
          <w:sz w:val="22"/>
          <w:szCs w:val="22"/>
          <w:color w:val="auto"/>
        </w:rPr>
        <w:t xml:space="preserve"> of the FP Master Agreement and </w:t>
      </w:r>
      <w:r>
        <w:rPr>
          <w:rFonts w:ascii="Times New Roman" w:cs="Times New Roman" w:eastAsia="Times New Roman" w:hAnsi="Times New Roman"/>
          <w:sz w:val="22"/>
          <w:szCs w:val="22"/>
          <w:u w:val="single" w:color="auto"/>
          <w:color w:val="auto"/>
        </w:rPr>
        <w:t>Section 6.5(c)(iv)</w:t>
      </w:r>
      <w:r>
        <w:rPr>
          <w:rFonts w:ascii="Times New Roman" w:cs="Times New Roman" w:eastAsia="Times New Roman" w:hAnsi="Times New Roman"/>
          <w:sz w:val="22"/>
          <w:szCs w:val="22"/>
          <w:color w:val="auto"/>
        </w:rPr>
        <w:t xml:space="preserve"> of the FA Master Agreement will apply to [***] within FP, FA and other facilities. [***]</w:t>
      </w:r>
    </w:p>
    <w:p>
      <w:pPr>
        <w:spacing w:after="0" w:line="186" w:lineRule="exact"/>
        <w:rPr>
          <w:rFonts w:ascii="Times New Roman" w:cs="Times New Roman" w:eastAsia="Times New Roman" w:hAnsi="Times New Roman"/>
          <w:sz w:val="22"/>
          <w:szCs w:val="22"/>
          <w:color w:val="auto"/>
        </w:rPr>
      </w:pPr>
    </w:p>
    <w:p>
      <w:pPr>
        <w:jc w:val="both"/>
        <w:ind w:left="524" w:hanging="524"/>
        <w:spacing w:after="0" w:line="251" w:lineRule="auto"/>
        <w:tabs>
          <w:tab w:leader="none" w:pos="47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Technology Transitions</w:t>
      </w:r>
      <w:r>
        <w:rPr>
          <w:rFonts w:ascii="Times New Roman" w:cs="Times New Roman" w:eastAsia="Times New Roman" w:hAnsi="Times New Roman"/>
          <w:sz w:val="22"/>
          <w:szCs w:val="22"/>
          <w:color w:val="auto"/>
        </w:rPr>
        <w:t>. The Joint Ventures shall be given priority for any technology transition. Should either FP or FA not accept any proposal for a NAND technology transition, the non-rejecting Party (as between SanDisk and Toshiba) shall be able to implement such technology transition on its capacity and [***]. Subject to the foregoing priority granted to the Joint Ventures, nothing in this Agreement shall in any way limit Toshiba’s ability to implement NAND technology transitions within the Toshiba Capacity, which shall be made in Toshiba’s sole discretion.</w:t>
      </w:r>
    </w:p>
    <w:p>
      <w:pPr>
        <w:spacing w:after="0" w:line="181"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Effect on [***]; Priority; Proprietary Products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464" w:hanging="464"/>
        <w:spacing w:after="0"/>
        <w:tabs>
          <w:tab w:leader="none" w:pos="46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24" w:hanging="529"/>
        <w:spacing w:after="0" w:line="284" w:lineRule="auto"/>
        <w:tabs>
          <w:tab w:leader="none" w:pos="124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6.4(a)(ii)</w:t>
      </w:r>
      <w:r>
        <w:rPr>
          <w:rFonts w:ascii="Times New Roman" w:cs="Times New Roman" w:eastAsia="Times New Roman" w:hAnsi="Times New Roman"/>
          <w:sz w:val="22"/>
          <w:szCs w:val="22"/>
          <w:color w:val="auto"/>
        </w:rPr>
        <w:t xml:space="preserve"> of the FP Master Agreement and </w:t>
      </w:r>
      <w:r>
        <w:rPr>
          <w:rFonts w:ascii="Times New Roman" w:cs="Times New Roman" w:eastAsia="Times New Roman" w:hAnsi="Times New Roman"/>
          <w:sz w:val="22"/>
          <w:szCs w:val="22"/>
          <w:u w:val="single" w:color="auto"/>
          <w:color w:val="auto"/>
        </w:rPr>
        <w:t>Section 6.6(a)(ii)</w:t>
      </w:r>
      <w:r>
        <w:rPr>
          <w:rFonts w:ascii="Times New Roman" w:cs="Times New Roman" w:eastAsia="Times New Roman" w:hAnsi="Times New Roman"/>
          <w:sz w:val="22"/>
          <w:szCs w:val="22"/>
          <w:color w:val="auto"/>
        </w:rPr>
        <w:t xml:space="preserve"> of the FA Master Agreement are each hereby amended such that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4"/>
          </w:cols>
          <w:pgMar w:left="976" w:top="1440" w:right="339" w:bottom="1440" w:gutter="0" w:footer="0" w:header="0"/>
        </w:sectPr>
      </w:pPr>
    </w:p>
    <w:bookmarkStart w:id="72" w:name="page73"/>
    <w:bookmarkEnd w:id="72"/>
    <w:p>
      <w:pPr>
        <w:spacing w:after="0" w:line="200" w:lineRule="exact"/>
        <w:rPr>
          <w:sz w:val="20"/>
          <w:szCs w:val="20"/>
          <w:color w:val="auto"/>
        </w:rPr>
      </w:pPr>
    </w:p>
    <w:p>
      <w:pPr>
        <w:spacing w:after="0" w:line="336" w:lineRule="exact"/>
        <w:rPr>
          <w:sz w:val="20"/>
          <w:szCs w:val="20"/>
          <w:color w:val="auto"/>
        </w:rPr>
      </w:pPr>
    </w:p>
    <w:p>
      <w:pPr>
        <w:ind w:left="1324" w:right="20"/>
        <w:spacing w:after="0" w:line="271" w:lineRule="auto"/>
        <w:rPr>
          <w:sz w:val="20"/>
          <w:szCs w:val="20"/>
          <w:color w:val="auto"/>
        </w:rPr>
      </w:pPr>
      <w:r>
        <w:rPr>
          <w:rFonts w:ascii="Times New Roman" w:cs="Times New Roman" w:eastAsia="Times New Roman" w:hAnsi="Times New Roman"/>
          <w:sz w:val="22"/>
          <w:szCs w:val="22"/>
          <w:color w:val="auto"/>
        </w:rPr>
        <w:t>Sub-section 6.4(a)(ii)(B) in the FP Master Agreement and Sub-section 6.6(a)(ii)(C) in the FA Master Agreement shall be replaced with</w:t>
      </w:r>
    </w:p>
    <w:p>
      <w:pPr>
        <w:spacing w:after="0" w:line="171"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324" w:hanging="529"/>
        <w:spacing w:after="0" w:line="257" w:lineRule="auto"/>
        <w:tabs>
          <w:tab w:leader="none" w:pos="13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6.4(a)(i)</w:t>
      </w:r>
      <w:r>
        <w:rPr>
          <w:rFonts w:ascii="Times New Roman" w:cs="Times New Roman" w:eastAsia="Times New Roman" w:hAnsi="Times New Roman"/>
          <w:sz w:val="22"/>
          <w:szCs w:val="22"/>
          <w:color w:val="auto"/>
        </w:rPr>
        <w:t xml:space="preserve"> of the FP Master Agreement and </w:t>
      </w:r>
      <w:r>
        <w:rPr>
          <w:rFonts w:ascii="Times New Roman" w:cs="Times New Roman" w:eastAsia="Times New Roman" w:hAnsi="Times New Roman"/>
          <w:sz w:val="22"/>
          <w:szCs w:val="22"/>
          <w:u w:val="single" w:color="auto"/>
          <w:color w:val="auto"/>
        </w:rPr>
        <w:t>Section 6.6(a)(i)</w:t>
      </w:r>
      <w:r>
        <w:rPr>
          <w:rFonts w:ascii="Times New Roman" w:cs="Times New Roman" w:eastAsia="Times New Roman" w:hAnsi="Times New Roman"/>
          <w:sz w:val="22"/>
          <w:szCs w:val="22"/>
          <w:color w:val="auto"/>
        </w:rPr>
        <w:t xml:space="preserve"> of the FA Master Agreement are each hereby amended such that each of Sub-section 6.4(a)(i)(C) in the FP Master Agreement and Sub-section 6.6(a)(</w:t>
      </w:r>
      <w:r>
        <w:rPr>
          <w:rFonts w:ascii="Times New Roman" w:cs="Times New Roman" w:eastAsia="Times New Roman" w:hAnsi="Times New Roman"/>
          <w:sz w:val="22"/>
          <w:szCs w:val="22"/>
          <w:u w:val="single" w:color="auto"/>
          <w:color w:val="auto"/>
        </w:rPr>
        <w:t>i)(D)</w:t>
      </w:r>
      <w:r>
        <w:rPr>
          <w:rFonts w:ascii="Times New Roman" w:cs="Times New Roman" w:eastAsia="Times New Roman" w:hAnsi="Times New Roman"/>
          <w:sz w:val="22"/>
          <w:szCs w:val="22"/>
          <w:color w:val="auto"/>
        </w:rPr>
        <w:t xml:space="preserve"> in the FA Master Agreement shall be replaced with</w:t>
      </w:r>
    </w:p>
    <w:p>
      <w:pPr>
        <w:spacing w:after="0" w:line="172" w:lineRule="exact"/>
        <w:rPr>
          <w:rFonts w:ascii="Times New Roman" w:cs="Times New Roman" w:eastAsia="Times New Roman" w:hAnsi="Times New Roman"/>
          <w:sz w:val="22"/>
          <w:szCs w:val="22"/>
          <w:color w:val="auto"/>
        </w:rPr>
      </w:pPr>
    </w:p>
    <w:p>
      <w:pPr>
        <w:ind w:left="132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Products</w:t>
      </w:r>
      <w:r>
        <w:rPr>
          <w:rFonts w:ascii="Times New Roman" w:cs="Times New Roman" w:eastAsia="Times New Roman" w:hAnsi="Times New Roman"/>
          <w:sz w:val="22"/>
          <w:szCs w:val="22"/>
          <w:color w:val="auto"/>
        </w:rPr>
        <w:t>. [***].</w:t>
      </w:r>
    </w:p>
    <w:p>
      <w:pPr>
        <w:spacing w:after="0" w:line="220"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Effect on Costs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464" w:hanging="464"/>
        <w:spacing w:after="0"/>
        <w:tabs>
          <w:tab w:leader="none" w:pos="4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Manufacturing Costs</w:t>
      </w:r>
      <w:r>
        <w:rPr>
          <w:rFonts w:ascii="Times New Roman" w:cs="Times New Roman" w:eastAsia="Times New Roman" w:hAnsi="Times New Roman"/>
          <w:sz w:val="22"/>
          <w:szCs w:val="22"/>
          <w:color w:val="auto"/>
        </w:rPr>
        <w:t>. All costs of manufacturing shall be [***].</w:t>
      </w:r>
    </w:p>
    <w:p>
      <w:pPr>
        <w:spacing w:after="0" w:line="219" w:lineRule="exact"/>
        <w:rPr>
          <w:rFonts w:ascii="Times New Roman" w:cs="Times New Roman" w:eastAsia="Times New Roman" w:hAnsi="Times New Roman"/>
          <w:sz w:val="22"/>
          <w:szCs w:val="22"/>
          <w:color w:val="auto"/>
        </w:rPr>
      </w:pPr>
    </w:p>
    <w:p>
      <w:pPr>
        <w:ind w:left="1224" w:hanging="429"/>
        <w:spacing w:after="0"/>
        <w:tabs>
          <w:tab w:leader="none" w:pos="122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4" w:hanging="489"/>
        <w:spacing w:after="0"/>
        <w:tabs>
          <w:tab w:leader="none" w:pos="128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524" w:hanging="524"/>
        <w:spacing w:after="0" w:line="271" w:lineRule="auto"/>
        <w:tabs>
          <w:tab w:leader="none" w:pos="5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Joint Ventures shall not be responsible or invoiced for [***]. Any other [***] shall be subject to mutual good faith discussion and agreement regarding the terms by which [***] shall be borne by the applicable Joint Venture.</w:t>
      </w:r>
    </w:p>
    <w:p>
      <w:pPr>
        <w:spacing w:after="0" w:line="157"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 benefits associated with [***] will be discussed by the Parties [***] and mutually agreed by the Parties.</w:t>
      </w:r>
    </w:p>
    <w:p>
      <w:pPr>
        <w:spacing w:after="0" w:line="220"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464" w:hanging="464"/>
        <w:spacing w:after="0"/>
        <w:tabs>
          <w:tab w:leader="none" w:pos="46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 for the Y3 or Y4 Facility that are owned by the applicable Joint Venture as of the date hereof, [***], within</w:t>
      </w:r>
    </w:p>
    <w:p>
      <w:pPr>
        <w:spacing w:after="0" w:line="40" w:lineRule="exact"/>
        <w:rPr>
          <w:rFonts w:ascii="Times New Roman" w:cs="Times New Roman" w:eastAsia="Times New Roman" w:hAnsi="Times New Roman"/>
          <w:sz w:val="21"/>
          <w:szCs w:val="21"/>
          <w:color w:val="auto"/>
        </w:rPr>
      </w:pPr>
    </w:p>
    <w:p>
      <w:pPr>
        <w:ind w:left="1044" w:hanging="526"/>
        <w:spacing w:after="0"/>
        <w:tabs>
          <w:tab w:leader="none" w:pos="10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each Closing under the Equipment Purchase Agreement, [***].</w:t>
      </w:r>
    </w:p>
    <w:p>
      <w:pPr>
        <w:spacing w:after="0" w:line="207"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 for the Y3 or Y4 Facility that will be [***], the Parties agree that:</w:t>
      </w:r>
    </w:p>
    <w:p>
      <w:pPr>
        <w:spacing w:after="0" w:line="219" w:lineRule="exact"/>
        <w:rPr>
          <w:rFonts w:ascii="Times New Roman" w:cs="Times New Roman" w:eastAsia="Times New Roman" w:hAnsi="Times New Roman"/>
          <w:sz w:val="22"/>
          <w:szCs w:val="22"/>
          <w:color w:val="auto"/>
        </w:rPr>
      </w:pPr>
    </w:p>
    <w:p>
      <w:pPr>
        <w:ind w:left="1224" w:hanging="429"/>
        <w:spacing w:after="0"/>
        <w:tabs>
          <w:tab w:leader="none" w:pos="122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such [***] related to [***]; and</w:t>
      </w:r>
    </w:p>
    <w:p>
      <w:pPr>
        <w:spacing w:after="0" w:line="219" w:lineRule="exact"/>
        <w:rPr>
          <w:rFonts w:ascii="Times New Roman" w:cs="Times New Roman" w:eastAsia="Times New Roman" w:hAnsi="Times New Roman"/>
          <w:sz w:val="22"/>
          <w:szCs w:val="22"/>
          <w:color w:val="auto"/>
        </w:rPr>
      </w:pPr>
    </w:p>
    <w:p>
      <w:pPr>
        <w:ind w:left="1284" w:hanging="489"/>
        <w:spacing w:after="0"/>
        <w:tabs>
          <w:tab w:leader="none" w:pos="128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(as between Toshiba and SanDisk) shall be solely responsible for the purchase of [***].</w:t>
      </w:r>
    </w:p>
    <w:p>
      <w:pPr>
        <w:spacing w:after="0" w:line="220"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524" w:hanging="524"/>
        <w:spacing w:after="0" w:line="295" w:lineRule="auto"/>
        <w:tabs>
          <w:tab w:leader="none" w:pos="48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 Toshiba shall sell to the applicable Joint Venture, and such Joint Venture shall purchase from Toshiba, the portion of the then existing [***]. Payment for such [***] shall be made by SanDisk and Toshiba to the applicable</w:t>
      </w:r>
    </w:p>
    <w:p>
      <w:pPr>
        <w:sectPr>
          <w:pgSz w:w="11900" w:h="16838" w:orient="portrait"/>
          <w:cols w:equalWidth="0" w:num="1">
            <w:col w:w="10584"/>
          </w:cols>
          <w:pgMar w:left="976"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584"/>
          </w:cols>
          <w:pgMar w:left="976" w:top="1440" w:right="339" w:bottom="1440" w:gutter="0" w:footer="0" w:header="0"/>
          <w:type w:val="continuous"/>
        </w:sectPr>
      </w:pPr>
    </w:p>
    <w:bookmarkStart w:id="73" w:name="page74"/>
    <w:bookmarkEnd w:id="73"/>
    <w:p>
      <w:pPr>
        <w:spacing w:after="0" w:line="200" w:lineRule="exact"/>
        <w:rPr>
          <w:sz w:val="20"/>
          <w:szCs w:val="20"/>
          <w:color w:val="auto"/>
        </w:rPr>
      </w:pPr>
    </w:p>
    <w:p>
      <w:pPr>
        <w:spacing w:after="0" w:line="3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Joint Ventures, pursuant to invoices from the Joint Ventures, no later than [***], and the Joint Ventures [***].</w:t>
      </w:r>
    </w:p>
    <w:p>
      <w:pPr>
        <w:spacing w:after="0" w:line="220" w:lineRule="exact"/>
        <w:rPr>
          <w:sz w:val="20"/>
          <w:szCs w:val="20"/>
          <w:color w:val="auto"/>
        </w:rPr>
      </w:pPr>
    </w:p>
    <w:p>
      <w:pPr>
        <w:jc w:val="both"/>
        <w:ind w:left="1180" w:hanging="524"/>
        <w:spacing w:after="0" w:line="256" w:lineRule="auto"/>
        <w:tabs>
          <w:tab w:leader="none" w:pos="113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shall sell to each of the Joint Ventures, and each of the Joint Ventures shall purchase [***] and [***] allocable to such Joint Venture [***]. Payment for such [***] shall be made by SanDisk and Toshiba to the applicable Joint Venture, pursuant to a payment mechanism and schedule to be agreed between the Parties, provided that payment shall occur [***].</w:t>
      </w:r>
    </w:p>
    <w:p>
      <w:pPr>
        <w:spacing w:after="0" w:line="17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Foundry and Conversion Options; Additional Capacity Transfer</w:t>
      </w:r>
    </w:p>
    <w:p>
      <w:pPr>
        <w:spacing w:after="0" w:line="251" w:lineRule="exact"/>
        <w:rPr>
          <w:sz w:val="20"/>
          <w:szCs w:val="20"/>
          <w:color w:val="auto"/>
        </w:rPr>
      </w:pPr>
    </w:p>
    <w:p>
      <w:pPr>
        <w:ind w:left="1180" w:hanging="517"/>
        <w:spacing w:after="0" w:line="271" w:lineRule="auto"/>
        <w:tabs>
          <w:tab w:leader="none" w:pos="11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u w:val="single" w:color="auto"/>
          <w:color w:val="auto"/>
        </w:rPr>
        <w:t>Foundry Option</w:t>
      </w:r>
      <w:r>
        <w:rPr>
          <w:rFonts w:ascii="Times New Roman" w:cs="Times New Roman" w:eastAsia="Times New Roman" w:hAnsi="Times New Roman"/>
          <w:sz w:val="22"/>
          <w:szCs w:val="22"/>
          <w:color w:val="auto"/>
        </w:rPr>
        <w:t>. Toshiba and SanDisk shall enter into the Foundry Agreement which shall provide for a foundry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arrangement between the Parties until [***].</w:t>
      </w:r>
    </w:p>
    <w:p>
      <w:pPr>
        <w:spacing w:after="0" w:line="17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Conversion Option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120" w:hanging="464"/>
        <w:spacing w:after="0"/>
        <w:tabs>
          <w:tab w:leader="none" w:pos="11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right"/>
        <w:ind w:left="660" w:right="9580" w:hanging="4"/>
        <w:spacing w:after="0" w:line="446" w:lineRule="auto"/>
        <w:tabs>
          <w:tab w:leader="none" w:pos="111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7.3  [***].</w:t>
      </w:r>
    </w:p>
    <w:p>
      <w:pPr>
        <w:ind w:left="380" w:hanging="372"/>
        <w:spacing w:after="0"/>
        <w:tabs>
          <w:tab w:leader="none" w:pos="3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Each of the Parties</w:t>
      </w:r>
    </w:p>
    <w:p>
      <w:pPr>
        <w:spacing w:after="0" w:line="251" w:lineRule="exact"/>
        <w:rPr>
          <w:sz w:val="20"/>
          <w:szCs w:val="20"/>
          <w:color w:val="auto"/>
        </w:rPr>
      </w:pPr>
    </w:p>
    <w:p>
      <w:pPr>
        <w:jc w:val="both"/>
        <w:ind w:left="1180" w:right="20" w:hanging="517"/>
        <w:spacing w:after="0" w:line="271" w:lineRule="auto"/>
        <w:rPr>
          <w:sz w:val="20"/>
          <w:szCs w:val="20"/>
          <w:color w:val="auto"/>
        </w:rPr>
      </w:pPr>
      <w:r>
        <w:rPr>
          <w:rFonts w:ascii="Times New Roman" w:cs="Times New Roman" w:eastAsia="Times New Roman" w:hAnsi="Times New Roman"/>
          <w:sz w:val="22"/>
          <w:szCs w:val="22"/>
          <w:color w:val="auto"/>
        </w:rPr>
        <w:t>Each Party, severally and not jointly, represents and warrants to each other Party that the following are true and correct as of the date hereof:</w:t>
      </w:r>
    </w:p>
    <w:p>
      <w:pPr>
        <w:spacing w:after="0" w:line="158" w:lineRule="exact"/>
        <w:rPr>
          <w:sz w:val="20"/>
          <w:szCs w:val="20"/>
          <w:color w:val="auto"/>
        </w:rPr>
      </w:pPr>
    </w:p>
    <w:p>
      <w:pPr>
        <w:jc w:val="both"/>
        <w:ind w:left="1180" w:right="20" w:hanging="517"/>
        <w:spacing w:after="0" w:line="271" w:lineRule="auto"/>
        <w:tabs>
          <w:tab w:leader="none" w:pos="11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u w:val="single" w:color="auto"/>
          <w:color w:val="auto"/>
        </w:rPr>
        <w:t>Organization and Standing</w:t>
      </w:r>
      <w:r>
        <w:rPr>
          <w:rFonts w:ascii="Times New Roman" w:cs="Times New Roman" w:eastAsia="Times New Roman" w:hAnsi="Times New Roman"/>
          <w:sz w:val="22"/>
          <w:szCs w:val="22"/>
          <w:color w:val="auto"/>
        </w:rPr>
        <w:t>. It is duly organized and validly existing and, where applicable, in good standing under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laws of the jurisdiction in which it is organized.</w:t>
      </w:r>
    </w:p>
    <w:p>
      <w:pPr>
        <w:spacing w:after="0" w:line="158" w:lineRule="exact"/>
        <w:rPr>
          <w:sz w:val="20"/>
          <w:szCs w:val="20"/>
          <w:color w:val="auto"/>
        </w:rPr>
      </w:pPr>
    </w:p>
    <w:p>
      <w:pPr>
        <w:jc w:val="both"/>
        <w:ind w:left="1180" w:hanging="517"/>
        <w:spacing w:after="0" w:line="250" w:lineRule="auto"/>
        <w:tabs>
          <w:tab w:leader="none" w:pos="11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u w:val="single" w:color="auto"/>
          <w:color w:val="auto"/>
        </w:rPr>
        <w:t>Authority; Enforceability</w:t>
      </w:r>
      <w:r>
        <w:rPr>
          <w:rFonts w:ascii="Times New Roman" w:cs="Times New Roman" w:eastAsia="Times New Roman" w:hAnsi="Times New Roman"/>
          <w:sz w:val="22"/>
          <w:szCs w:val="22"/>
          <w:color w:val="auto"/>
        </w:rPr>
        <w:t>. It has the requisite corporate or equivalent power and authority to enter into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to execute any certificates or other instruments to be executed by it in connection with the Transactions, and otherwise carry out the Transactions. All corporate or equivalent proceedings required to be taken by it to authorize the execution, delivery and performance of this Agreement, and any such certificates and instruments, and the consummation of the Transactions, have been or will be as of the Closing properly taken. This Agreement has been duly and validly executed and delivered by it and constitutes a valid and binding obligation of it, enforceable against it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336" w:lineRule="exact"/>
        <w:rPr>
          <w:sz w:val="20"/>
          <w:szCs w:val="20"/>
          <w:color w:val="auto"/>
        </w:rPr>
      </w:pPr>
    </w:p>
    <w:p>
      <w:pPr>
        <w:jc w:val="both"/>
        <w:ind w:left="1140" w:hanging="517"/>
        <w:spacing w:after="0" w:line="261" w:lineRule="auto"/>
        <w:tabs>
          <w:tab w:leader="none" w:pos="112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The execution, delivery and performance of this Agreement by it do not and will not (a) breach, violate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or conflict with any provision of its charter documents as amended to date, (b) conflict with or violate any law, rule, regulation, order, writ, judgment, injunction, decree, determination or award applicable to it, or (c) result in the creation or imposition of any Lien (other than as may result from the actions contemplated by the Equipment Purchase Agreement)on any of the Purchased Assets. No consent, approval or authorization of, or filing with, any Governmental Authority, or any other Person, is required to be made or obtained by it in connection with the execution, delivery and performance by it of this Agreement and the consummation by it of the Transactions. The term “</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as used in this Agreement means any lien, pledge, hypothecation, security interest, claim, lease, charge, option, right of first refusal, transfer restriction, encumbrance or any other restriction or limitation whatsoever. The term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as used in this Agreement means any individual, corporation, partnership, limited liability company, firm, joint venture, association, joint-stock company, trust, unincorporated organization, Governmental Authority or other entity. The term “</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as used in this Agreement means any court, tribunal, arbitrator or any government or political subdivision thereof, whether foreign, federal, state or county, or any agency, authority, official or instrumentality of such government or political subdivision.</w:t>
      </w:r>
    </w:p>
    <w:p>
      <w:pPr>
        <w:spacing w:after="0" w:line="171" w:lineRule="exact"/>
        <w:rPr>
          <w:sz w:val="20"/>
          <w:szCs w:val="20"/>
          <w:color w:val="auto"/>
        </w:rPr>
      </w:pPr>
    </w:p>
    <w:p>
      <w:pPr>
        <w:jc w:val="both"/>
        <w:ind w:left="1160" w:hanging="517"/>
        <w:spacing w:after="0" w:line="268" w:lineRule="auto"/>
        <w:tabs>
          <w:tab w:leader="none" w:pos="114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u w:val="single" w:color="auto"/>
          <w:color w:val="auto"/>
        </w:rPr>
        <w:t>Brokers’ or Finders’ Fees</w:t>
      </w:r>
      <w:r>
        <w:rPr>
          <w:rFonts w:ascii="Times New Roman" w:cs="Times New Roman" w:eastAsia="Times New Roman" w:hAnsi="Times New Roman"/>
          <w:sz w:val="21"/>
          <w:szCs w:val="21"/>
          <w:color w:val="auto"/>
        </w:rPr>
        <w:t>. It has not incurred and will not incur, directly or indirectly, any liability for brokerage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finders’ fees or agents’ commissions or any similar charges in connection with this Agreement or any certificates and instruments executed or contemplated to be executed by the Parties. It has not taken any action or entered into any agreement or understanding that will cause any other Party to incur any of the foregoing liabilities.</w:t>
      </w:r>
    </w:p>
    <w:p>
      <w:pPr>
        <w:spacing w:after="0" w:line="177" w:lineRule="exact"/>
        <w:rPr>
          <w:sz w:val="20"/>
          <w:szCs w:val="20"/>
          <w:color w:val="auto"/>
        </w:rPr>
      </w:pPr>
    </w:p>
    <w:p>
      <w:pPr>
        <w:jc w:val="both"/>
        <w:ind w:left="1160" w:hanging="517"/>
        <w:spacing w:after="0" w:line="257" w:lineRule="auto"/>
        <w:tabs>
          <w:tab w:leader="none" w:pos="114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Action pending, or, to its knowledge, threatened, or directly relating to the Transactions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which, if successful, would materially impair such Party’s ability to consummate the Transactions. There is no judgment, order, writ or decree that substantially restrains its ability to consummate the Transactions.</w:t>
      </w:r>
    </w:p>
    <w:p>
      <w:pPr>
        <w:spacing w:after="0" w:line="14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Additional Matters</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180" w:hanging="517"/>
        <w:spacing w:after="0" w:line="263" w:lineRule="auto"/>
        <w:tabs>
          <w:tab w:leader="none" w:pos="116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Toshiba shall continue to maintain insurance policies as contemplated under</w:t>
      </w:r>
      <w:r>
        <w:rPr>
          <w:rFonts w:ascii="Times New Roman" w:cs="Times New Roman" w:eastAsia="Times New Roman" w:hAnsi="Times New Roman"/>
          <w:sz w:val="22"/>
          <w:szCs w:val="22"/>
          <w:u w:val="single" w:color="auto"/>
          <w:color w:val="auto"/>
        </w:rPr>
        <w:t xml:space="preserve"> Section 7.5(d) </w:t>
      </w:r>
      <w:r>
        <w:rPr>
          <w:rFonts w:ascii="Times New Roman" w:cs="Times New Roman" w:eastAsia="Times New Roman" w:hAnsi="Times New Roman"/>
          <w:sz w:val="22"/>
          <w:szCs w:val="22"/>
          <w:color w:val="auto"/>
        </w:rPr>
        <w:t>of the FP</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Master Agreement and </w:t>
      </w:r>
      <w:r>
        <w:rPr>
          <w:rFonts w:ascii="Times New Roman" w:cs="Times New Roman" w:eastAsia="Times New Roman" w:hAnsi="Times New Roman"/>
          <w:sz w:val="22"/>
          <w:szCs w:val="22"/>
          <w:u w:val="single" w:color="auto"/>
          <w:color w:val="auto"/>
        </w:rPr>
        <w:t>Section 7.5(d)</w:t>
      </w:r>
      <w:r>
        <w:rPr>
          <w:rFonts w:ascii="Times New Roman" w:cs="Times New Roman" w:eastAsia="Times New Roman" w:hAnsi="Times New Roman"/>
          <w:sz w:val="22"/>
          <w:szCs w:val="22"/>
          <w:color w:val="auto"/>
        </w:rPr>
        <w:t xml:space="preserve"> of the FA Master Agreement covering the entire business of the Joint Ventures and the Toshiba Capacity, provided that [***].</w:t>
      </w:r>
    </w:p>
    <w:p>
      <w:pPr>
        <w:spacing w:after="0" w:line="167" w:lineRule="exact"/>
        <w:rPr>
          <w:sz w:val="20"/>
          <w:szCs w:val="20"/>
          <w:color w:val="auto"/>
        </w:rPr>
      </w:pPr>
    </w:p>
    <w:p>
      <w:pPr>
        <w:jc w:val="both"/>
        <w:ind w:left="1140" w:hanging="517"/>
        <w:spacing w:after="0" w:line="257" w:lineRule="auto"/>
        <w:tabs>
          <w:tab w:leader="none" w:pos="11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u w:val="single" w:color="auto"/>
          <w:color w:val="auto"/>
        </w:rPr>
        <w:t xml:space="preserve">Environmental Liabilities. </w:t>
      </w:r>
      <w:r>
        <w:rPr>
          <w:rFonts w:ascii="Times New Roman" w:cs="Times New Roman" w:eastAsia="Times New Roman" w:hAnsi="Times New Roman"/>
          <w:sz w:val="22"/>
          <w:szCs w:val="22"/>
          <w:color w:val="auto"/>
        </w:rPr>
        <w:t>The Environmental Indemnification Agreements with respect to FA and FP in effect shall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continue in effect without amendment, except that, beginning on the earlier of [***] (i) Toshiba shall be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336" w:lineRule="exact"/>
        <w:rPr>
          <w:sz w:val="20"/>
          <w:szCs w:val="20"/>
          <w:color w:val="auto"/>
        </w:rPr>
      </w:pPr>
    </w:p>
    <w:p>
      <w:pPr>
        <w:jc w:val="both"/>
        <w:ind w:left="1180"/>
        <w:spacing w:after="0" w:line="256" w:lineRule="auto"/>
        <w:rPr>
          <w:sz w:val="20"/>
          <w:szCs w:val="20"/>
          <w:color w:val="auto"/>
        </w:rPr>
      </w:pPr>
      <w:r>
        <w:rPr>
          <w:rFonts w:ascii="Times New Roman" w:cs="Times New Roman" w:eastAsia="Times New Roman" w:hAnsi="Times New Roman"/>
          <w:sz w:val="22"/>
          <w:szCs w:val="22"/>
          <w:color w:val="auto"/>
        </w:rPr>
        <w:t>its share of liability for Environmental Costs (as defined in the Environmental Indemnification Agreements) [***]FA and/or FP, as applicable, at the time of the contamination or release, if determinable, and (ii) if the time of such contamination or release is not determinable, the liability for Environmental Costs shall be allocated [***] of NAND Flash production through the time of discovery of such contamination or release.</w:t>
      </w:r>
    </w:p>
    <w:p>
      <w:pPr>
        <w:spacing w:after="0" w:line="176" w:lineRule="exact"/>
        <w:rPr>
          <w:sz w:val="20"/>
          <w:szCs w:val="20"/>
          <w:color w:val="auto"/>
        </w:rPr>
      </w:pPr>
    </w:p>
    <w:p>
      <w:pPr>
        <w:jc w:val="both"/>
        <w:ind w:left="1160" w:hanging="517"/>
        <w:spacing w:after="0" w:line="256" w:lineRule="auto"/>
        <w:tabs>
          <w:tab w:leader="none" w:pos="11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2"/>
          <w:szCs w:val="22"/>
          <w:u w:val="single" w:color="auto"/>
          <w:color w:val="auto"/>
        </w:rPr>
        <w:t>Further Assurances; Cooperation</w:t>
      </w:r>
      <w:r>
        <w:rPr>
          <w:rFonts w:ascii="Times New Roman" w:cs="Times New Roman" w:eastAsia="Times New Roman" w:hAnsi="Times New Roman"/>
          <w:sz w:val="22"/>
          <w:szCs w:val="22"/>
          <w:color w:val="auto"/>
        </w:rPr>
        <w:t>. Each of the Parties shall from time to time, at the reasonable request of the other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Parties, and without further consideration (unless otherwise provided for under this Agreement), execute and deliver such instruments, cooperate and take such actions (as a member of the FP and FA joint ventures or otherwise) as may be reasonably necessary to effectuate the Transactions.</w:t>
      </w:r>
    </w:p>
    <w:p>
      <w:pPr>
        <w:spacing w:after="0" w:line="145"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37" w:lineRule="exact"/>
        <w:rPr>
          <w:sz w:val="20"/>
          <w:szCs w:val="20"/>
          <w:color w:val="auto"/>
        </w:rPr>
      </w:pPr>
    </w:p>
    <w:p>
      <w:pPr>
        <w:jc w:val="both"/>
        <w:ind w:left="1180" w:hanging="630"/>
        <w:spacing w:after="0" w:line="252" w:lineRule="auto"/>
        <w:tabs>
          <w:tab w:leader="none" w:pos="116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exhibits, schedules, appendices and attachments hereto,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Joint Venture Agreements (as and if amended hereby) and the other Transaction Agreements constitute the entire agreement of the Parties to this Agreement with respect to the subject matter hereof and supersede all prior written and oral agreements and understandings with respect to such subject matter.</w:t>
      </w:r>
    </w:p>
    <w:p>
      <w:pPr>
        <w:spacing w:after="0" w:line="193" w:lineRule="exact"/>
        <w:rPr>
          <w:sz w:val="20"/>
          <w:szCs w:val="20"/>
          <w:color w:val="auto"/>
        </w:rPr>
      </w:pPr>
    </w:p>
    <w:p>
      <w:pPr>
        <w:jc w:val="both"/>
        <w:ind w:left="1160" w:hanging="630"/>
        <w:spacing w:after="0" w:line="252" w:lineRule="auto"/>
        <w:tabs>
          <w:tab w:leader="none" w:pos="11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2"/>
          <w:szCs w:val="22"/>
          <w:u w:val="single" w:color="auto"/>
          <w:color w:val="auto"/>
        </w:rPr>
        <w:t>Precedence</w:t>
      </w:r>
      <w:r>
        <w:rPr>
          <w:rFonts w:ascii="Times New Roman" w:cs="Times New Roman" w:eastAsia="Times New Roman" w:hAnsi="Times New Roman"/>
          <w:sz w:val="22"/>
          <w:szCs w:val="22"/>
          <w:color w:val="auto"/>
        </w:rPr>
        <w:t>. The terms and provisions of this Agreement are binding on the Parties. To the extent that a provision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this Agreement or another Transaction Agreement expressly conflicts with a Joint Venture Agreement, then the provisions of this Agreement shall control; provided however, that unless otherwise provided herein, the provisions of the Joint Venture Agreements remain in effect.</w:t>
      </w:r>
    </w:p>
    <w:p>
      <w:pPr>
        <w:spacing w:after="0" w:line="179" w:lineRule="exact"/>
        <w:rPr>
          <w:sz w:val="20"/>
          <w:szCs w:val="20"/>
          <w:color w:val="auto"/>
        </w:rPr>
      </w:pPr>
    </w:p>
    <w:p>
      <w:pPr>
        <w:jc w:val="both"/>
        <w:ind w:left="1160" w:hanging="630"/>
        <w:spacing w:after="0" w:line="263" w:lineRule="auto"/>
        <w:tabs>
          <w:tab w:leader="none" w:pos="11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in all respects be governed by and construed in accordance with the internal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laws of the State of California applicable to agreements made and to be performed entirely within such state without regard to the conflict of laws principles of such state.</w:t>
      </w:r>
    </w:p>
    <w:p>
      <w:pPr>
        <w:spacing w:after="0" w:line="167" w:lineRule="exact"/>
        <w:rPr>
          <w:sz w:val="20"/>
          <w:szCs w:val="20"/>
          <w:color w:val="auto"/>
        </w:rPr>
      </w:pPr>
    </w:p>
    <w:p>
      <w:pPr>
        <w:jc w:val="both"/>
        <w:ind w:left="1180" w:hanging="630"/>
        <w:spacing w:after="0" w:line="257" w:lineRule="auto"/>
        <w:tabs>
          <w:tab w:leader="none" w:pos="116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u w:val="single" w:color="auto"/>
          <w:color w:val="auto"/>
        </w:rPr>
        <w:t>Remedies; Rules of Construction and Documentary Convention</w:t>
      </w:r>
      <w:r>
        <w:rPr>
          <w:rFonts w:ascii="Times New Roman" w:cs="Times New Roman" w:eastAsia="Times New Roman" w:hAnsi="Times New Roman"/>
          <w:sz w:val="22"/>
          <w:szCs w:val="22"/>
          <w:color w:val="auto"/>
        </w:rPr>
        <w:t>. The Parties agree that the Rules of Construction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and Documentary Convention set forth in each of the Joint Venture Agreements shall apply in the event that a dispute arises out of or relates to this Agreement or a particular Joint Venture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Remainder of page intentionally left blank.</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76" w:name="page77"/>
    <w:bookmarkEnd w:id="76"/>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this Agreement is executed as of the date first written above.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“FP”</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FLASH PARTNERS LIMITED</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Yasuo Naruke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-21590</wp:posOffset>
            </wp:positionV>
            <wp:extent cx="15557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155575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Name Yasuo Naruke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Representative director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“TOSHIBA”</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TOSHIBA CORPORATION</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 /s/ Shozo Saito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-29210</wp:posOffset>
            </wp:positionV>
            <wp:extent cx="1440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2"/>
          <w:szCs w:val="22"/>
          <w:color w:val="auto"/>
        </w:rPr>
        <w:t>Name Shozo Saito</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Title Corporate Senior Vice President</w:t>
      </w:r>
    </w:p>
    <w:p>
      <w:pPr>
        <w:spacing w:after="0" w:line="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President and CEO</w:t>
      </w:r>
    </w:p>
    <w:p>
      <w:pPr>
        <w:spacing w:after="0" w:line="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Semiconductor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right="1880"/>
        <w:spacing w:after="0" w:line="255" w:lineRule="auto"/>
        <w:rPr>
          <w:sz w:val="20"/>
          <w:szCs w:val="20"/>
          <w:color w:val="auto"/>
        </w:rPr>
      </w:pPr>
      <w:r>
        <w:rPr>
          <w:rFonts w:ascii="Times New Roman" w:cs="Times New Roman" w:eastAsia="Times New Roman" w:hAnsi="Times New Roman"/>
          <w:sz w:val="22"/>
          <w:szCs w:val="22"/>
          <w:color w:val="auto"/>
        </w:rPr>
        <w:t>“SANDISK CAYMAN” SANDISK (CAYMAN) LIMITED By /s/ Judy Bruner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-31115</wp:posOffset>
            </wp:positionV>
            <wp:extent cx="14554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Name Judy Bruner</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FLASH ALLIANCE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Yasuo Naruke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-21590</wp:posOffset>
            </wp:positionV>
            <wp:extent cx="15900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Yasuo Naruke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Representative director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“SANDISK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SANDISK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-21590</wp:posOffset>
            </wp:positionV>
            <wp:extent cx="15278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Sanjay Mehrotra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“SANDISK IRELAND”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SANDISK (IRELAND)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-21590</wp:posOffset>
            </wp:positionV>
            <wp:extent cx="15278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Sanjay Mehrotra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ectPr>
          <w:pgSz w:w="11900" w:h="16838" w:orient="portrait"/>
          <w:cols w:equalWidth="0" w:num="2">
            <w:col w:w="4920" w:space="720"/>
            <w:col w:w="449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[Signature page to Joint Venture Restructure Agreement]</w:t>
      </w:r>
    </w:p>
    <w:p>
      <w:pPr>
        <w:sectPr>
          <w:pgSz w:w="11900" w:h="16838" w:orient="portrait"/>
          <w:cols w:equalWidth="0" w:num="1">
            <w:col w:w="10139"/>
          </w:cols>
          <w:pgMar w:left="320" w:top="1440" w:right="1440" w:bottom="1440" w:gutter="0" w:footer="0" w:header="0"/>
          <w:type w:val="continuous"/>
        </w:sectPr>
      </w:pPr>
    </w:p>
    <w:bookmarkStart w:id="77" w:name="page78"/>
    <w:bookmarkEnd w:id="77"/>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4.1(a)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78" w:name="page79"/>
    <w:bookmarkEnd w:id="78"/>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4.1(b)(i)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79" w:name="page80"/>
    <w:bookmarkEnd w:id="79"/>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4.1(b)(ii)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80" w:name="page81"/>
    <w:bookmarkEnd w:id="80"/>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5.4(a)(i)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81" w:name="page82"/>
    <w:bookmarkEnd w:id="81"/>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5.4(a)(ii)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82" w:name="page83"/>
    <w:bookmarkEnd w:id="82"/>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5.4(b)-1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5.4(b)-2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CONFIDENTIAL</w:t>
      </w: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1812925</wp:posOffset>
            </wp:positionV>
            <wp:extent cx="5349240" cy="3600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53492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March 4, 2024</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by and between</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SanDisk China Limited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100"/>
        <w:spacing w:after="0" w:line="256" w:lineRule="exact"/>
        <w:rPr>
          <w:sz w:val="20"/>
          <w:szCs w:val="20"/>
          <w:color w:val="auto"/>
        </w:rPr>
      </w:pPr>
      <w:r>
        <w:rPr>
          <w:rFonts w:ascii="Times New Roman" w:cs="Times New Roman" w:eastAsia="Times New Roman" w:hAnsi="Times New Roman"/>
          <w:sz w:val="21"/>
          <w:szCs w:val="21"/>
          <w:color w:val="auto"/>
        </w:rPr>
        <w:t>JCET Management Co., Ltd. (</w:t>
      </w:r>
      <w:r>
        <w:rPr>
          <w:rFonts w:ascii="SimSun" w:cs="SimSun" w:eastAsia="SimSun" w:hAnsi="SimSun"/>
          <w:sz w:val="21"/>
          <w:szCs w:val="21"/>
          <w:color w:val="auto"/>
        </w:rPr>
        <w:t>长电科技管理有限公司</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146685</wp:posOffset>
            </wp:positionV>
            <wp:extent cx="5349240" cy="531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5349240" cy="53149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85" w:name="page86"/>
    <w:bookmarkEnd w:id="85"/>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20" w:type="dxa"/>
            <w:vAlign w:val="bottom"/>
            <w:gridSpan w:val="10"/>
          </w:tcPr>
          <w:p>
            <w:pPr>
              <w:ind w:left="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gridSpan w:val="4"/>
          </w:tcPr>
          <w:p>
            <w:pPr>
              <w:ind w:left="1600"/>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I</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73"/>
              </w:rPr>
              <w:t>DEFINITIONS</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8040" w:type="dxa"/>
            <w:vAlign w:val="bottom"/>
            <w:gridSpan w:val="13"/>
          </w:tcPr>
          <w:p>
            <w:pPr>
              <w:ind w:left="60"/>
              <w:spacing w:after="0"/>
              <w:rPr>
                <w:sz w:val="20"/>
                <w:szCs w:val="20"/>
                <w:color w:val="auto"/>
              </w:rPr>
            </w:pPr>
            <w:r>
              <w:rPr>
                <w:rFonts w:ascii="Times New Roman" w:cs="Times New Roman" w:eastAsia="Times New Roman" w:hAnsi="Times New Roman"/>
                <w:sz w:val="22"/>
                <w:szCs w:val="22"/>
                <w:color w:val="auto"/>
              </w:rPr>
              <w:t>Definitions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gridSpan w:val="8"/>
          </w:tcPr>
          <w:p>
            <w:pPr>
              <w:spacing w:after="0" w:line="230" w:lineRule="exact"/>
              <w:rPr>
                <w:sz w:val="20"/>
                <w:szCs w:val="20"/>
                <w:color w:val="auto"/>
              </w:rPr>
            </w:pPr>
            <w:r>
              <w:rPr>
                <w:rFonts w:ascii="Times New Roman" w:cs="Times New Roman" w:eastAsia="Times New Roman" w:hAnsi="Times New Roman"/>
                <w:sz w:val="22"/>
                <w:szCs w:val="22"/>
                <w:color w:val="auto"/>
              </w:rPr>
              <w:t>ARTICLE II</w:t>
            </w:r>
          </w:p>
        </w:tc>
        <w:tc>
          <w:tcPr>
            <w:tcW w:w="202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2"/>
                <w:szCs w:val="22"/>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3"/>
              </w:rPr>
              <w:t>PURCHASE</w:t>
            </w:r>
          </w:p>
        </w:tc>
        <w:tc>
          <w:tcPr>
            <w:tcW w:w="1100" w:type="dxa"/>
            <w:vAlign w:val="bottom"/>
            <w:tcBorders>
              <w:top w:val="single" w:sz="8" w:color="auto"/>
            </w:tcBorders>
            <w:gridSpan w:val="3"/>
          </w:tcPr>
          <w:p>
            <w:pPr>
              <w:ind w:left="100"/>
              <w:spacing w:after="0" w:line="196" w:lineRule="exact"/>
              <w:rPr>
                <w:sz w:val="20"/>
                <w:szCs w:val="20"/>
                <w:color w:val="auto"/>
              </w:rPr>
            </w:pPr>
            <w:r>
              <w:rPr>
                <w:rFonts w:ascii="Times New Roman" w:cs="Times New Roman" w:eastAsia="Times New Roman" w:hAnsi="Times New Roman"/>
                <w:sz w:val="22"/>
                <w:szCs w:val="22"/>
                <w:color w:val="auto"/>
                <w:w w:val="85"/>
              </w:rPr>
              <w:t>AND SALE;</w:t>
            </w:r>
          </w:p>
        </w:tc>
        <w:tc>
          <w:tcPr>
            <w:tcW w:w="40" w:type="dxa"/>
            <w:vAlign w:val="bottom"/>
          </w:tcPr>
          <w:p>
            <w:pPr>
              <w:spacing w:after="0"/>
              <w:rPr>
                <w:sz w:val="17"/>
                <w:szCs w:val="17"/>
                <w:color w:val="auto"/>
              </w:rPr>
            </w:pPr>
          </w:p>
        </w:tc>
        <w:tc>
          <w:tcPr>
            <w:tcW w:w="3560" w:type="dxa"/>
            <w:vAlign w:val="bottom"/>
            <w:gridSpan w:val="4"/>
          </w:tcPr>
          <w:p>
            <w:pPr>
              <w:ind w:left="120"/>
              <w:spacing w:after="0" w:line="196" w:lineRule="exact"/>
              <w:rPr>
                <w:sz w:val="20"/>
                <w:szCs w:val="20"/>
                <w:color w:val="auto"/>
              </w:rPr>
            </w:pPr>
            <w:r>
              <w:rPr>
                <w:rFonts w:ascii="Times New Roman" w:cs="Times New Roman" w:eastAsia="Times New Roman" w:hAnsi="Times New Roman"/>
                <w:sz w:val="22"/>
                <w:szCs w:val="22"/>
                <w:color w:val="auto"/>
              </w:rPr>
              <w:t>CLOSING</w:t>
            </w:r>
          </w:p>
        </w:tc>
        <w:tc>
          <w:tcPr>
            <w:tcW w:w="1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2.1  Purchase and Sale</w:t>
            </w:r>
          </w:p>
        </w:tc>
        <w:tc>
          <w:tcPr>
            <w:tcW w:w="3300" w:type="dxa"/>
            <w:vAlign w:val="bottom"/>
            <w:tcBorders>
              <w:top w:val="single" w:sz="8" w:color="auto"/>
            </w:tcBorders>
            <w:gridSpan w:val="9"/>
          </w:tcPr>
          <w:p>
            <w:pPr>
              <w:spacing w:after="0"/>
              <w:rPr>
                <w:sz w:val="24"/>
                <w:szCs w:val="24"/>
                <w:color w:val="auto"/>
              </w:rPr>
            </w:pPr>
          </w:p>
        </w:tc>
        <w:tc>
          <w:tcPr>
            <w:tcW w:w="2500" w:type="dxa"/>
            <w:vAlign w:val="bottom"/>
            <w:gridSpan w:val="2"/>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8040" w:type="dxa"/>
            <w:vAlign w:val="bottom"/>
            <w:gridSpan w:val="13"/>
          </w:tcPr>
          <w:p>
            <w:pPr>
              <w:ind w:left="60"/>
              <w:spacing w:after="0"/>
              <w:rPr>
                <w:sz w:val="20"/>
                <w:szCs w:val="20"/>
                <w:color w:val="auto"/>
              </w:rPr>
            </w:pPr>
            <w:r>
              <w:rPr>
                <w:rFonts w:ascii="Times New Roman" w:cs="Times New Roman" w:eastAsia="Times New Roman" w:hAnsi="Times New Roman"/>
                <w:sz w:val="22"/>
                <w:szCs w:val="22"/>
                <w:color w:val="auto"/>
              </w:rPr>
              <w:t>Purchase Price</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2.3  Estimated Adjustments at Closing</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8040" w:type="dxa"/>
            <w:vAlign w:val="bottom"/>
            <w:gridSpan w:val="13"/>
          </w:tcPr>
          <w:p>
            <w:pPr>
              <w:ind w:left="60"/>
              <w:spacing w:after="0"/>
              <w:rPr>
                <w:sz w:val="20"/>
                <w:szCs w:val="20"/>
                <w:color w:val="auto"/>
              </w:rPr>
            </w:pPr>
            <w:r>
              <w:rPr>
                <w:rFonts w:ascii="Times New Roman" w:cs="Times New Roman" w:eastAsia="Times New Roman" w:hAnsi="Times New Roman"/>
                <w:sz w:val="22"/>
                <w:szCs w:val="22"/>
                <w:color w:val="auto"/>
              </w:rPr>
              <w:t>Post-Closing Adjustment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8040" w:type="dxa"/>
            <w:vAlign w:val="bottom"/>
            <w:gridSpan w:val="13"/>
          </w:tcPr>
          <w:p>
            <w:pPr>
              <w:ind w:left="60"/>
              <w:spacing w:after="0"/>
              <w:rPr>
                <w:sz w:val="20"/>
                <w:szCs w:val="20"/>
                <w:color w:val="auto"/>
              </w:rPr>
            </w:pPr>
            <w:r>
              <w:rPr>
                <w:rFonts w:ascii="Times New Roman" w:cs="Times New Roman" w:eastAsia="Times New Roman" w:hAnsi="Times New Roman"/>
                <w:sz w:val="22"/>
                <w:szCs w:val="22"/>
                <w:color w:val="auto"/>
              </w:rPr>
              <w:t>Completion Accounts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2.6  Dispute Resolution Procedure</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8040" w:type="dxa"/>
            <w:vAlign w:val="bottom"/>
            <w:gridSpan w:val="13"/>
          </w:tcPr>
          <w:p>
            <w:pPr>
              <w:ind w:left="60"/>
              <w:spacing w:after="0"/>
              <w:rPr>
                <w:sz w:val="20"/>
                <w:szCs w:val="20"/>
                <w:color w:val="auto"/>
              </w:rPr>
            </w:pPr>
            <w:r>
              <w:rPr>
                <w:rFonts w:ascii="Times New Roman" w:cs="Times New Roman" w:eastAsia="Times New Roman" w:hAnsi="Times New Roman"/>
                <w:sz w:val="22"/>
                <w:szCs w:val="22"/>
                <w:color w:val="auto"/>
              </w:rPr>
              <w:t>Deferred Payments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2.8</w:t>
            </w:r>
          </w:p>
        </w:tc>
        <w:tc>
          <w:tcPr>
            <w:tcW w:w="8040" w:type="dxa"/>
            <w:vAlign w:val="bottom"/>
            <w:gridSpan w:val="13"/>
          </w:tcPr>
          <w:p>
            <w:pPr>
              <w:ind w:left="60"/>
              <w:spacing w:after="0"/>
              <w:rPr>
                <w:sz w:val="20"/>
                <w:szCs w:val="20"/>
                <w:color w:val="auto"/>
              </w:rPr>
            </w:pPr>
            <w:r>
              <w:rPr>
                <w:rFonts w:ascii="Times New Roman" w:cs="Times New Roman" w:eastAsia="Times New Roman" w:hAnsi="Times New Roman"/>
                <w:sz w:val="22"/>
                <w:szCs w:val="22"/>
                <w:color w:val="auto"/>
              </w:rPr>
              <w:t>Closing</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2.9  Deliveries by Seller</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2.10  Deliveries by Purchaser</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340" w:type="dxa"/>
            <w:vAlign w:val="bottom"/>
            <w:vMerge w:val="restart"/>
          </w:tcPr>
          <w:p>
            <w:pPr>
              <w:spacing w:after="0"/>
              <w:rPr>
                <w:sz w:val="19"/>
                <w:szCs w:val="19"/>
                <w:color w:val="auto"/>
              </w:rPr>
            </w:pPr>
          </w:p>
        </w:tc>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w w:val="95"/>
              </w:rPr>
              <w:t>REPRESENTATIONS</w:t>
            </w:r>
          </w:p>
        </w:tc>
        <w:tc>
          <w:tcPr>
            <w:tcW w:w="4720" w:type="dxa"/>
            <w:vAlign w:val="bottom"/>
            <w:gridSpan w:val="9"/>
          </w:tcPr>
          <w:p>
            <w:pPr>
              <w:spacing w:after="0" w:line="230" w:lineRule="exact"/>
              <w:rPr>
                <w:sz w:val="20"/>
                <w:szCs w:val="20"/>
                <w:color w:val="auto"/>
              </w:rPr>
            </w:pPr>
            <w:r>
              <w:rPr>
                <w:rFonts w:ascii="Times New Roman" w:cs="Times New Roman" w:eastAsia="Times New Roman" w:hAnsi="Times New Roman"/>
                <w:sz w:val="22"/>
                <w:szCs w:val="22"/>
                <w:color w:val="auto"/>
              </w:rPr>
              <w:t>ARTICLE III</w:t>
            </w:r>
          </w:p>
        </w:tc>
        <w:tc>
          <w:tcPr>
            <w:tcW w:w="202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2"/>
                <w:szCs w:val="22"/>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980" w:type="dxa"/>
            <w:vAlign w:val="bottom"/>
            <w:gridSpan w:val="3"/>
            <w:vMerge w:val="continue"/>
          </w:tcPr>
          <w:p>
            <w:pPr>
              <w:spacing w:after="0" w:line="20" w:lineRule="exact"/>
              <w:rPr>
                <w:sz w:val="1"/>
                <w:szCs w:val="1"/>
                <w:color w:val="auto"/>
              </w:rPr>
            </w:pPr>
          </w:p>
        </w:tc>
        <w:tc>
          <w:tcPr>
            <w:tcW w:w="1160" w:type="dxa"/>
            <w:vAlign w:val="bottom"/>
            <w:gridSpan w:val="5"/>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980" w:type="dxa"/>
            <w:vAlign w:val="bottom"/>
            <w:tcBorders>
              <w:bottom w:val="single" w:sz="8" w:color="auto"/>
            </w:tcBorders>
            <w:gridSpan w:val="3"/>
            <w:vMerge w:val="continue"/>
          </w:tcPr>
          <w:p>
            <w:pPr>
              <w:spacing w:after="0"/>
              <w:rPr>
                <w:sz w:val="17"/>
                <w:szCs w:val="17"/>
                <w:color w:val="auto"/>
              </w:rPr>
            </w:pPr>
          </w:p>
        </w:tc>
        <w:tc>
          <w:tcPr>
            <w:tcW w:w="3140" w:type="dxa"/>
            <w:vAlign w:val="bottom"/>
            <w:tcBorders>
              <w:bottom w:val="single" w:sz="8" w:color="auto"/>
            </w:tcBorders>
            <w:gridSpan w:val="8"/>
          </w:tcPr>
          <w:p>
            <w:pPr>
              <w:ind w:left="40"/>
              <w:spacing w:after="0" w:line="196" w:lineRule="exact"/>
              <w:rPr>
                <w:sz w:val="20"/>
                <w:szCs w:val="20"/>
                <w:color w:val="auto"/>
              </w:rPr>
            </w:pPr>
            <w:r>
              <w:rPr>
                <w:rFonts w:ascii="Times New Roman" w:cs="Times New Roman" w:eastAsia="Times New Roman" w:hAnsi="Times New Roman"/>
                <w:sz w:val="22"/>
                <w:szCs w:val="22"/>
                <w:color w:val="auto"/>
                <w:w w:val="97"/>
              </w:rPr>
              <w:t>AND WARRANTIES OF SELLER</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3.1  Organization and Qualification</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8040" w:type="dxa"/>
            <w:vAlign w:val="bottom"/>
            <w:gridSpan w:val="13"/>
          </w:tcPr>
          <w:p>
            <w:pPr>
              <w:ind w:left="4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3.3  Consents and Approvals; No Violations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3.4</w:t>
            </w:r>
          </w:p>
        </w:tc>
        <w:tc>
          <w:tcPr>
            <w:tcW w:w="8040" w:type="dxa"/>
            <w:vAlign w:val="bottom"/>
            <w:gridSpan w:val="13"/>
          </w:tcPr>
          <w:p>
            <w:pPr>
              <w:ind w:left="60"/>
              <w:spacing w:after="0"/>
              <w:rPr>
                <w:sz w:val="20"/>
                <w:szCs w:val="20"/>
                <w:color w:val="auto"/>
              </w:rPr>
            </w:pPr>
            <w:r>
              <w:rPr>
                <w:rFonts w:ascii="Times New Roman" w:cs="Times New Roman" w:eastAsia="Times New Roman" w:hAnsi="Times New Roman"/>
                <w:sz w:val="22"/>
                <w:szCs w:val="22"/>
                <w:color w:val="auto"/>
              </w:rPr>
              <w:t>Seller Litigation</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3.5  Ownership of Purchased Interest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3.6  Organization and Qualification</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3.7  Capitalization and Corporate Structure</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3.8</w:t>
            </w:r>
          </w:p>
        </w:tc>
        <w:tc>
          <w:tcPr>
            <w:tcW w:w="8040" w:type="dxa"/>
            <w:vAlign w:val="bottom"/>
            <w:gridSpan w:val="13"/>
          </w:tcPr>
          <w:p>
            <w:pPr>
              <w:ind w:left="60"/>
              <w:spacing w:after="0"/>
              <w:rPr>
                <w:sz w:val="20"/>
                <w:szCs w:val="20"/>
                <w:color w:val="auto"/>
              </w:rPr>
            </w:pPr>
            <w:r>
              <w:rPr>
                <w:rFonts w:ascii="Times New Roman" w:cs="Times New Roman" w:eastAsia="Times New Roman" w:hAnsi="Times New Roman"/>
                <w:sz w:val="22"/>
                <w:szCs w:val="22"/>
                <w:color w:val="auto"/>
              </w:rPr>
              <w:t>Financial Statements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3.9  Conduct of Business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Company Litigation</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3.11</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Taxes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3.12  Employee Benefit Plans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3.13</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Labor Matters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3.14  Property and Assets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3.15</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Environmental Matters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3.16  No Undisclosed Liabilities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3.17</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Intellectual Property</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3.18  Compliance with Laws and Orders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3.19</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Company Contracts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3.20</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Suppliers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3.21</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Permits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3.22</w:t>
            </w:r>
          </w:p>
        </w:tc>
        <w:tc>
          <w:tcPr>
            <w:tcW w:w="804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rPr>
              <w:t>Insurance</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9180" w:type="dxa"/>
            <w:vAlign w:val="bottom"/>
            <w:gridSpan w:val="14"/>
          </w:tcPr>
          <w:p>
            <w:pPr>
              <w:spacing w:after="0"/>
              <w:rPr>
                <w:sz w:val="20"/>
                <w:szCs w:val="20"/>
                <w:color w:val="auto"/>
              </w:rPr>
            </w:pPr>
            <w:r>
              <w:rPr>
                <w:rFonts w:ascii="Times New Roman" w:cs="Times New Roman" w:eastAsia="Times New Roman" w:hAnsi="Times New Roman"/>
                <w:sz w:val="22"/>
                <w:szCs w:val="22"/>
                <w:color w:val="auto"/>
              </w:rPr>
              <w:t>Section 3.23  Transactions with Affiliates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440" w:right="339" w:bottom="1440" w:gutter="0" w:footer="0" w:header="0"/>
          <w:type w:val="continuous"/>
        </w:sectPr>
      </w:pPr>
    </w:p>
    <w:bookmarkStart w:id="86" w:name="page87"/>
    <w:bookmarkEnd w:id="8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3.24</w:t>
            </w:r>
          </w:p>
        </w:tc>
        <w:tc>
          <w:tcPr>
            <w:tcW w:w="67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Data Protection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3.25  Due Diligence Materials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3.26</w:t>
            </w:r>
          </w:p>
        </w:tc>
        <w:tc>
          <w:tcPr>
            <w:tcW w:w="67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Solvency</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3.27</w:t>
            </w:r>
          </w:p>
        </w:tc>
        <w:tc>
          <w:tcPr>
            <w:tcW w:w="67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Product Liability</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3.28  Anti-Corruption Laws and Sanctions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3.29</w:t>
            </w:r>
          </w:p>
        </w:tc>
        <w:tc>
          <w:tcPr>
            <w:tcW w:w="67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Brokers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30"/>
        </w:trPr>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gridSpan w:val="4"/>
          </w:tcPr>
          <w:p>
            <w:pPr>
              <w:jc w:val="center"/>
              <w:ind w:right="2220"/>
              <w:spacing w:after="0" w:line="230" w:lineRule="exact"/>
              <w:rPr>
                <w:sz w:val="20"/>
                <w:szCs w:val="20"/>
                <w:color w:val="auto"/>
              </w:rPr>
            </w:pPr>
            <w:r>
              <w:rPr>
                <w:rFonts w:ascii="Times New Roman" w:cs="Times New Roman" w:eastAsia="Times New Roman" w:hAnsi="Times New Roman"/>
                <w:sz w:val="22"/>
                <w:szCs w:val="22"/>
                <w:color w:val="auto"/>
                <w:w w:val="93"/>
              </w:rPr>
              <w:t>ARTICLE IV</w:t>
            </w:r>
          </w:p>
        </w:tc>
        <w:tc>
          <w:tcPr>
            <w:tcW w:w="33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34</w:t>
            </w:r>
          </w:p>
        </w:tc>
      </w:tr>
      <w:tr>
        <w:trPr>
          <w:trHeight w:val="20"/>
        </w:trPr>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0" w:type="dxa"/>
            <w:vAlign w:val="bottom"/>
            <w:tcBorders>
              <w:bottom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REPRESENTATIONS AND WARRANTIES OF PURCHASER</w:t>
            </w: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4.1  Organization and Qualification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4.2</w:t>
            </w:r>
          </w:p>
        </w:tc>
        <w:tc>
          <w:tcPr>
            <w:tcW w:w="67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4.3  Consents and Approvals; No Violations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67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Litigation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4.5</w:t>
            </w:r>
          </w:p>
        </w:tc>
        <w:tc>
          <w:tcPr>
            <w:tcW w:w="67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Solvency</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4.6  Independent Investigation; No Reliance.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4.7</w:t>
            </w:r>
          </w:p>
        </w:tc>
        <w:tc>
          <w:tcPr>
            <w:tcW w:w="67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Available Funds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4.8  Letters of Guarantee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4.9</w:t>
            </w:r>
          </w:p>
        </w:tc>
        <w:tc>
          <w:tcPr>
            <w:tcW w:w="67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Brokers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30"/>
        </w:trPr>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gridSpan w:val="4"/>
          </w:tcPr>
          <w:p>
            <w:pPr>
              <w:jc w:val="center"/>
              <w:ind w:right="2240"/>
              <w:spacing w:after="0" w:line="230" w:lineRule="exact"/>
              <w:rPr>
                <w:sz w:val="20"/>
                <w:szCs w:val="20"/>
                <w:color w:val="auto"/>
              </w:rPr>
            </w:pPr>
            <w:r>
              <w:rPr>
                <w:rFonts w:ascii="Times New Roman" w:cs="Times New Roman" w:eastAsia="Times New Roman" w:hAnsi="Times New Roman"/>
                <w:sz w:val="22"/>
                <w:szCs w:val="22"/>
                <w:color w:val="auto"/>
                <w:w w:val="97"/>
              </w:rPr>
              <w:t>ARTICLE V</w:t>
            </w:r>
          </w:p>
        </w:tc>
        <w:tc>
          <w:tcPr>
            <w:tcW w:w="33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37</w:t>
            </w:r>
          </w:p>
        </w:tc>
      </w:tr>
      <w:tr>
        <w:trPr>
          <w:trHeight w:val="196"/>
        </w:trPr>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84"/>
              </w:rPr>
              <w:t>COVENANTS</w:t>
            </w:r>
          </w:p>
        </w:tc>
        <w:tc>
          <w:tcPr>
            <w:tcW w:w="8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r>
      <w:tr>
        <w:trPr>
          <w:trHeight w:val="29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5.1  Conduct of Business Prior to the Closing</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5.2  Access to Information; Confidentiality</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5.3  Regulatory Filings; Reasonable Best Efforts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5.4</w:t>
            </w:r>
          </w:p>
        </w:tc>
        <w:tc>
          <w:tcPr>
            <w:tcW w:w="67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Closing Conditions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5.5  No Amendment to Letters of Guarantee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5.6</w:t>
            </w:r>
          </w:p>
        </w:tc>
        <w:tc>
          <w:tcPr>
            <w:tcW w:w="67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Employee Benefits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5.7</w:t>
            </w:r>
          </w:p>
        </w:tc>
        <w:tc>
          <w:tcPr>
            <w:tcW w:w="67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Public Announcements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5.8</w:t>
            </w:r>
          </w:p>
        </w:tc>
        <w:tc>
          <w:tcPr>
            <w:tcW w:w="67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Further Assurances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5.9  Notification of Certain Matters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67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Taxes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5.11</w:t>
            </w:r>
          </w:p>
        </w:tc>
        <w:tc>
          <w:tcPr>
            <w:tcW w:w="67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No-Shop</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5.12</w:t>
            </w:r>
          </w:p>
        </w:tc>
        <w:tc>
          <w:tcPr>
            <w:tcW w:w="67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Non-Compete; Non-Solicitation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5.13  Working Capital Support</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30"/>
        </w:trPr>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gridSpan w:val="4"/>
          </w:tcPr>
          <w:p>
            <w:pPr>
              <w:jc w:val="center"/>
              <w:ind w:right="2220"/>
              <w:spacing w:after="0" w:line="230" w:lineRule="exact"/>
              <w:rPr>
                <w:sz w:val="20"/>
                <w:szCs w:val="20"/>
                <w:color w:val="auto"/>
              </w:rPr>
            </w:pPr>
            <w:r>
              <w:rPr>
                <w:rFonts w:ascii="Times New Roman" w:cs="Times New Roman" w:eastAsia="Times New Roman" w:hAnsi="Times New Roman"/>
                <w:sz w:val="22"/>
                <w:szCs w:val="22"/>
                <w:color w:val="auto"/>
                <w:w w:val="93"/>
              </w:rPr>
              <w:t>ARTICLE VI</w:t>
            </w:r>
          </w:p>
        </w:tc>
        <w:tc>
          <w:tcPr>
            <w:tcW w:w="33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54</w:t>
            </w:r>
          </w:p>
        </w:tc>
      </w:tr>
      <w:tr>
        <w:trPr>
          <w:trHeight w:val="20"/>
        </w:trPr>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Borders>
              <w:right w:val="single" w:sz="8" w:color="auto"/>
            </w:tcBorders>
            <w:gridSpan w:val="2"/>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gridSpan w:val="6"/>
          </w:tcPr>
          <w:p>
            <w:pPr>
              <w:jc w:val="center"/>
              <w:ind w:right="1500"/>
              <w:spacing w:after="0" w:line="196" w:lineRule="exact"/>
              <w:rPr>
                <w:sz w:val="20"/>
                <w:szCs w:val="20"/>
                <w:color w:val="auto"/>
              </w:rPr>
            </w:pPr>
            <w:r>
              <w:rPr>
                <w:rFonts w:ascii="Times New Roman" w:cs="Times New Roman" w:eastAsia="Times New Roman" w:hAnsi="Times New Roman"/>
                <w:sz w:val="22"/>
                <w:szCs w:val="22"/>
                <w:color w:val="auto"/>
                <w:w w:val="98"/>
              </w:rPr>
              <w:t>CONDITIONS PRECEDENT</w:t>
            </w: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0"/>
        </w:trPr>
        <w:tc>
          <w:tcPr>
            <w:tcW w:w="3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6.1  Mutual Closing Conditions</w:t>
            </w:r>
          </w:p>
        </w:tc>
        <w:tc>
          <w:tcPr>
            <w:tcW w:w="2620" w:type="dxa"/>
            <w:vAlign w:val="bottom"/>
            <w:tcBorders>
              <w:top w:val="single" w:sz="8" w:color="auto"/>
            </w:tcBorders>
            <w:gridSpan w:val="5"/>
          </w:tcPr>
          <w:p>
            <w:pPr>
              <w:spacing w:after="0"/>
              <w:rPr>
                <w:sz w:val="24"/>
                <w:szCs w:val="24"/>
                <w:color w:val="auto"/>
              </w:rPr>
            </w:pPr>
          </w:p>
        </w:tc>
        <w:tc>
          <w:tcPr>
            <w:tcW w:w="1500" w:type="dxa"/>
            <w:vAlign w:val="bottom"/>
          </w:tcPr>
          <w:p>
            <w:pPr>
              <w:spacing w:after="0"/>
              <w:rPr>
                <w:sz w:val="24"/>
                <w:szCs w:val="24"/>
                <w:color w:val="auto"/>
              </w:rPr>
            </w:pP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6.2  Purchaser’s Closing Conditions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6.3  Seller’s Closing Conditions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6.4  Mutual Conditions for AMR Submission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6.5  Purchaser’s Conditions for AMR Submission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6.6  Seller’s Conditions for AMR Submission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6.7  Frustration of Conditions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82"/>
        </w:trPr>
        <w:tc>
          <w:tcPr>
            <w:tcW w:w="7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6.8  Waiver of Conditions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gridSpan w:val="5"/>
          </w:tcPr>
          <w:p>
            <w:pPr>
              <w:jc w:val="center"/>
              <w:ind w:right="700"/>
              <w:spacing w:after="0"/>
              <w:rPr>
                <w:sz w:val="20"/>
                <w:szCs w:val="20"/>
                <w:color w:val="auto"/>
              </w:rPr>
            </w:pPr>
            <w:r>
              <w:rPr>
                <w:rFonts w:ascii="Times New Roman" w:cs="Times New Roman" w:eastAsia="Times New Roman" w:hAnsi="Times New Roman"/>
                <w:sz w:val="22"/>
                <w:szCs w:val="22"/>
                <w:color w:val="auto"/>
                <w:w w:val="94"/>
              </w:rPr>
              <w:t>ARTICLE VII</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0"/>
        </w:trPr>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60" w:type="dxa"/>
            <w:vAlign w:val="bottom"/>
            <w:tcBorders>
              <w:bottom w:val="single" w:sz="8" w:color="auto"/>
            </w:tcBorders>
            <w:gridSpan w:val="9"/>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TERMINATION; EXPENSES</w:t>
            </w: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Termination</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7.2  Effect of Termination; Procedure</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7.3  Fees and Expenses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7.4</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Termination Fee</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30"/>
        </w:trPr>
        <w:tc>
          <w:tcPr>
            <w:tcW w:w="11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6"/>
          </w:tcPr>
          <w:p>
            <w:pPr>
              <w:jc w:val="center"/>
              <w:ind w:right="660"/>
              <w:spacing w:after="0" w:line="230" w:lineRule="exact"/>
              <w:rPr>
                <w:sz w:val="20"/>
                <w:szCs w:val="20"/>
                <w:color w:val="auto"/>
              </w:rPr>
            </w:pPr>
            <w:r>
              <w:rPr>
                <w:rFonts w:ascii="Times New Roman" w:cs="Times New Roman" w:eastAsia="Times New Roman" w:hAnsi="Times New Roman"/>
                <w:sz w:val="22"/>
                <w:szCs w:val="22"/>
                <w:color w:val="auto"/>
                <w:w w:val="96"/>
              </w:rPr>
              <w:t>ARTICLE VIII</w:t>
            </w:r>
          </w:p>
        </w:tc>
        <w:tc>
          <w:tcPr>
            <w:tcW w:w="484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63</w:t>
            </w:r>
          </w:p>
        </w:tc>
      </w:tr>
      <w:tr>
        <w:trPr>
          <w:trHeight w:val="196"/>
        </w:trPr>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9"/>
                <w:szCs w:val="19"/>
                <w:color w:val="auto"/>
                <w:w w:val="77"/>
              </w:rPr>
              <w:t>INDEMNIFICATION</w:t>
            </w: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r>
      <w:tr>
        <w:trPr>
          <w:trHeight w:val="29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Survival</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8.2  Indemnification by Seller</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8.3  Indemnification by Purchaser</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8.4</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Certain Limitations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8.5</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8.6</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Payments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8.7</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Tax Consequences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8.8  Pre-Closing Tax Indemnity</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8.9</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Exclusive Remedy</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8.10  Determination of Losses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30"/>
        </w:trPr>
        <w:tc>
          <w:tcPr>
            <w:tcW w:w="11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gridSpan w:val="5"/>
          </w:tcPr>
          <w:p>
            <w:pPr>
              <w:jc w:val="center"/>
              <w:ind w:right="740"/>
              <w:spacing w:after="0" w:line="230" w:lineRule="exact"/>
              <w:rPr>
                <w:sz w:val="20"/>
                <w:szCs w:val="20"/>
                <w:color w:val="auto"/>
              </w:rPr>
            </w:pPr>
            <w:r>
              <w:rPr>
                <w:rFonts w:ascii="Times New Roman" w:cs="Times New Roman" w:eastAsia="Times New Roman" w:hAnsi="Times New Roman"/>
                <w:sz w:val="22"/>
                <w:szCs w:val="22"/>
                <w:color w:val="auto"/>
                <w:w w:val="97"/>
              </w:rPr>
              <w:t>ARTICLE IX</w:t>
            </w:r>
          </w:p>
        </w:tc>
        <w:tc>
          <w:tcPr>
            <w:tcW w:w="484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69</w:t>
            </w:r>
          </w:p>
        </w:tc>
      </w:tr>
      <w:tr>
        <w:trPr>
          <w:trHeight w:val="196"/>
        </w:trPr>
        <w:tc>
          <w:tcPr>
            <w:tcW w:w="1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gridSpan w:val="2"/>
          </w:tcPr>
          <w:p>
            <w:pPr>
              <w:spacing w:after="0"/>
              <w:rPr>
                <w:sz w:val="17"/>
                <w:szCs w:val="17"/>
                <w:color w:val="auto"/>
              </w:rPr>
            </w:pPr>
          </w:p>
        </w:tc>
        <w:tc>
          <w:tcPr>
            <w:tcW w:w="122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74"/>
              </w:rPr>
              <w:t>MISCELLANEOUS</w:t>
            </w:r>
          </w:p>
        </w:tc>
        <w:tc>
          <w:tcPr>
            <w:tcW w:w="280" w:type="dxa"/>
            <w:vAlign w:val="bottom"/>
            <w:tcBorders>
              <w:bottom w:val="single" w:sz="8" w:color="auto"/>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r>
      <w:tr>
        <w:trPr>
          <w:trHeight w:val="29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Release</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9.2</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Disclosure</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9.3  No Other Representations or Warranties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9.4  Amendments; No Waivers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9.5</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Notices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63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9.6  Successors and Assigns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9.7</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Governing Law</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9.8</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Dispute Resolution</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9.9</w:t>
            </w:r>
          </w:p>
        </w:tc>
        <w:tc>
          <w:tcPr>
            <w:tcW w:w="52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Privilege; Counsel</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9.10</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Counterparts; Effectiveness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9.11</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Entire Agreement</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9.12</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Third-Party Beneficiaries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9.13</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9.14</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Specific Performance</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9.15</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No Setoff</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9.16</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Construction</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9.17</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No Recourse</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9.18</w:t>
            </w:r>
          </w:p>
        </w:tc>
        <w:tc>
          <w:tcPr>
            <w:tcW w:w="522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Currency</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00"/>
          </w:cols>
          <w:pgMar w:left="340" w:top="1426"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SCHEDULES AND EXHIBITS</w:t>
      </w:r>
    </w:p>
    <w:p>
      <w:pPr>
        <w:spacing w:after="0" w:line="2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Example Net Working Capital Calculation</w:t>
      </w:r>
    </w:p>
    <w:p>
      <w:pPr>
        <w:spacing w:after="0" w:line="200" w:lineRule="exact"/>
        <w:rPr>
          <w:sz w:val="20"/>
          <w:szCs w:val="20"/>
          <w:color w:val="auto"/>
        </w:rPr>
      </w:pPr>
    </w:p>
    <w:p>
      <w:pPr>
        <w:spacing w:after="0" w:line="26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Letters of Guarantee</w:t>
      </w:r>
    </w:p>
    <w:p>
      <w:pPr>
        <w:spacing w:after="0" w:line="2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Knowledge of Purchaser List</w:t>
      </w:r>
    </w:p>
    <w:p>
      <w:pPr>
        <w:spacing w:after="0" w:line="1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Knowledge of Seller</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Shareholders Agreement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Terms of Supply Agreement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DISCLOSURE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22"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auto"/>
        </w:rPr>
        <w:t>INDEX OF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b w:val="1"/>
                <w:bCs w:val="1"/>
                <w:color w:val="auto"/>
              </w:rPr>
              <w:t>Defined Term</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Page</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b w:val="1"/>
                <w:bCs w:val="1"/>
                <w:color w:val="auto"/>
              </w:rPr>
              <w:t>Defined Term</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88"/>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2023 Balance Sheet</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21</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Contract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0"/>
        </w:trPr>
        <w:tc>
          <w:tcPr>
            <w:tcW w:w="1200" w:type="dxa"/>
            <w:vAlign w:val="bottom"/>
            <w:tcBorders>
              <w:right w:val="single" w:sz="8" w:color="auto"/>
            </w:tcBorders>
            <w:gridSpan w:val="9"/>
            <w:shd w:val="clear" w:color="auto" w:fill="000000"/>
          </w:tcPr>
          <w:p>
            <w:pPr>
              <w:spacing w:after="0" w:line="20" w:lineRule="exact"/>
              <w:rPr>
                <w:sz w:val="1"/>
                <w:szCs w:val="1"/>
                <w:color w:val="auto"/>
              </w:rPr>
            </w:pPr>
          </w:p>
        </w:tc>
        <w:tc>
          <w:tcPr>
            <w:tcW w:w="10000" w:type="dxa"/>
            <w:vAlign w:val="bottom"/>
            <w:gridSpan w:val="47"/>
            <w:shd w:val="clear" w:color="auto" w:fill="000000"/>
          </w:tcPr>
          <w:p>
            <w:pPr>
              <w:spacing w:after="0" w:line="20" w:lineRule="exact"/>
              <w:rPr>
                <w:sz w:val="1"/>
                <w:szCs w:val="1"/>
                <w:color w:val="auto"/>
              </w:rPr>
            </w:pPr>
          </w:p>
        </w:tc>
      </w:tr>
      <w:tr>
        <w:trPr>
          <w:trHeight w:val="270"/>
        </w:trPr>
        <w:tc>
          <w:tcPr>
            <w:tcW w:w="1940" w:type="dxa"/>
            <w:vAlign w:val="bottom"/>
            <w:tcBorders>
              <w:bottom w:val="single" w:sz="8" w:color="auto"/>
            </w:tcBorders>
            <w:gridSpan w:val="17"/>
          </w:tcPr>
          <w:p>
            <w:pPr>
              <w:spacing w:after="0" w:line="250" w:lineRule="exact"/>
              <w:rPr>
                <w:sz w:val="20"/>
                <w:szCs w:val="20"/>
                <w:color w:val="auto"/>
              </w:rPr>
            </w:pPr>
            <w:r>
              <w:rPr>
                <w:rFonts w:ascii="Times New Roman" w:cs="Times New Roman" w:eastAsia="Times New Roman" w:hAnsi="Times New Roman"/>
                <w:sz w:val="22"/>
                <w:szCs w:val="22"/>
                <w:color w:val="auto"/>
                <w:w w:val="97"/>
              </w:rPr>
              <w:t>Accounting Principles</w:t>
            </w:r>
          </w:p>
        </w:tc>
        <w:tc>
          <w:tcPr>
            <w:tcW w:w="2580" w:type="dxa"/>
            <w:vAlign w:val="bottom"/>
            <w:gridSpan w:val="11"/>
          </w:tcPr>
          <w:p>
            <w:pPr>
              <w:spacing w:after="0"/>
              <w:rPr>
                <w:sz w:val="23"/>
                <w:szCs w:val="23"/>
                <w:color w:val="auto"/>
              </w:rPr>
            </w:pPr>
          </w:p>
        </w:tc>
        <w:tc>
          <w:tcPr>
            <w:tcW w:w="1240" w:type="dxa"/>
            <w:vAlign w:val="bottom"/>
          </w:tcPr>
          <w:p>
            <w:pPr>
              <w:jc w:val="right"/>
              <w:ind w:right="232"/>
              <w:spacing w:after="0" w:line="250" w:lineRule="exact"/>
              <w:rPr>
                <w:sz w:val="20"/>
                <w:szCs w:val="20"/>
                <w:color w:val="auto"/>
              </w:rPr>
            </w:pPr>
            <w:r>
              <w:rPr>
                <w:rFonts w:ascii="Times New Roman" w:cs="Times New Roman" w:eastAsia="Times New Roman" w:hAnsi="Times New Roman"/>
                <w:sz w:val="22"/>
                <w:szCs w:val="22"/>
                <w:color w:val="auto"/>
              </w:rPr>
              <w:t>1</w:t>
            </w:r>
          </w:p>
        </w:tc>
        <w:tc>
          <w:tcPr>
            <w:tcW w:w="66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5"/>
              </w:rPr>
              <w:t>Control</w:t>
            </w:r>
          </w:p>
        </w:tc>
        <w:tc>
          <w:tcPr>
            <w:tcW w:w="3920" w:type="dxa"/>
            <w:vAlign w:val="bottom"/>
            <w:gridSpan w:val="24"/>
          </w:tcPr>
          <w:p>
            <w:pPr>
              <w:spacing w:after="0"/>
              <w:rPr>
                <w:sz w:val="23"/>
                <w:szCs w:val="23"/>
                <w:color w:val="auto"/>
              </w:rPr>
            </w:pPr>
          </w:p>
        </w:tc>
        <w:tc>
          <w:tcPr>
            <w:tcW w:w="86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4</w:t>
            </w:r>
          </w:p>
        </w:tc>
      </w:tr>
      <w:tr>
        <w:trPr>
          <w:trHeight w:val="270"/>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Acquisition Proposal</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Controller Pro Rata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7"/>
        </w:trPr>
        <w:tc>
          <w:tcPr>
            <w:tcW w:w="6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Action</w:t>
            </w:r>
          </w:p>
        </w:tc>
        <w:tc>
          <w:tcPr>
            <w:tcW w:w="1220" w:type="dxa"/>
            <w:vAlign w:val="bottom"/>
            <w:tcBorders>
              <w:top w:val="single" w:sz="8" w:color="auto"/>
            </w:tcBorders>
            <w:gridSpan w:val="11"/>
          </w:tcPr>
          <w:p>
            <w:pPr>
              <w:spacing w:after="0"/>
              <w:rPr>
                <w:sz w:val="24"/>
                <w:szCs w:val="24"/>
                <w:color w:val="auto"/>
              </w:rPr>
            </w:pPr>
          </w:p>
        </w:tc>
        <w:tc>
          <w:tcPr>
            <w:tcW w:w="2700" w:type="dxa"/>
            <w:vAlign w:val="bottom"/>
            <w:gridSpan w:val="15"/>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w:t>
            </w:r>
          </w:p>
        </w:tc>
        <w:tc>
          <w:tcPr>
            <w:tcW w:w="1760" w:type="dxa"/>
            <w:vAlign w:val="bottom"/>
            <w:tcBorders>
              <w:top w:val="single" w:sz="8" w:color="auto"/>
              <w:bottom w:val="single" w:sz="8" w:color="auto"/>
            </w:tcBorders>
            <w:gridSpan w:val="14"/>
          </w:tcPr>
          <w:p>
            <w:pPr>
              <w:spacing w:after="0"/>
              <w:rPr>
                <w:sz w:val="20"/>
                <w:szCs w:val="20"/>
                <w:color w:val="auto"/>
              </w:rPr>
            </w:pPr>
            <w:r>
              <w:rPr>
                <w:rFonts w:ascii="Times New Roman" w:cs="Times New Roman" w:eastAsia="Times New Roman" w:hAnsi="Times New Roman"/>
                <w:sz w:val="22"/>
                <w:szCs w:val="22"/>
                <w:color w:val="auto"/>
                <w:w w:val="97"/>
              </w:rPr>
              <w:t>Controller Suppliers</w:t>
            </w:r>
          </w:p>
        </w:tc>
        <w:tc>
          <w:tcPr>
            <w:tcW w:w="480" w:type="dxa"/>
            <w:vAlign w:val="bottom"/>
            <w:tcBorders>
              <w:top w:val="single" w:sz="8" w:color="auto"/>
            </w:tcBorders>
            <w:gridSpan w:val="5"/>
          </w:tcPr>
          <w:p>
            <w:pPr>
              <w:spacing w:after="0"/>
              <w:rPr>
                <w:sz w:val="24"/>
                <w:szCs w:val="24"/>
                <w:color w:val="auto"/>
              </w:rPr>
            </w:pPr>
          </w:p>
        </w:tc>
        <w:tc>
          <w:tcPr>
            <w:tcW w:w="234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7"/>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Actual Net Debt Amount</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Controller Transition Period</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Actual Working Capital Adjustment Amount</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Controller Working Capital 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7"/>
        </w:trPr>
        <w:tc>
          <w:tcPr>
            <w:tcW w:w="284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22"/>
                <w:szCs w:val="22"/>
                <w:color w:val="auto"/>
                <w:w w:val="96"/>
              </w:rPr>
              <w:t>Actual Working Capital Amount</w:t>
            </w:r>
          </w:p>
        </w:tc>
        <w:tc>
          <w:tcPr>
            <w:tcW w:w="1040" w:type="dxa"/>
            <w:vAlign w:val="bottom"/>
            <w:tcBorders>
              <w:top w:val="single" w:sz="8" w:color="auto"/>
            </w:tcBorders>
            <w:gridSpan w:val="2"/>
          </w:tcPr>
          <w:p>
            <w:pPr>
              <w:spacing w:after="0"/>
              <w:rPr>
                <w:sz w:val="24"/>
                <w:szCs w:val="24"/>
                <w:color w:val="auto"/>
              </w:rPr>
            </w:pPr>
          </w:p>
        </w:tc>
        <w:tc>
          <w:tcPr>
            <w:tcW w:w="640" w:type="dxa"/>
            <w:vAlign w:val="bottom"/>
            <w:gridSpan w:val="3"/>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w:t>
            </w:r>
          </w:p>
        </w:tc>
        <w:tc>
          <w:tcPr>
            <w:tcW w:w="3120" w:type="dxa"/>
            <w:vAlign w:val="bottom"/>
            <w:tcBorders>
              <w:top w:val="single" w:sz="8" w:color="auto"/>
            </w:tcBorders>
            <w:gridSpan w:val="24"/>
          </w:tcPr>
          <w:p>
            <w:pPr>
              <w:spacing w:after="0"/>
              <w:rPr>
                <w:sz w:val="20"/>
                <w:szCs w:val="20"/>
                <w:color w:val="auto"/>
              </w:rPr>
            </w:pPr>
            <w:r>
              <w:rPr>
                <w:rFonts w:ascii="Times New Roman" w:cs="Times New Roman" w:eastAsia="Times New Roman" w:hAnsi="Times New Roman"/>
                <w:sz w:val="22"/>
                <w:szCs w:val="22"/>
                <w:color w:val="auto"/>
              </w:rPr>
              <w:t>Data Protection Laws</w:t>
            </w:r>
          </w:p>
        </w:tc>
        <w:tc>
          <w:tcPr>
            <w:tcW w:w="14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3980" w:type="dxa"/>
            <w:vAlign w:val="bottom"/>
            <w:gridSpan w:val="26"/>
          </w:tcPr>
          <w:p>
            <w:pPr>
              <w:spacing w:after="0"/>
              <w:rPr>
                <w:sz w:val="20"/>
                <w:szCs w:val="20"/>
                <w:color w:val="auto"/>
              </w:rPr>
            </w:pPr>
            <w:r>
              <w:rPr>
                <w:rFonts w:ascii="Times New Roman" w:cs="Times New Roman" w:eastAsia="Times New Roman" w:hAnsi="Times New Roman"/>
                <w:sz w:val="22"/>
                <w:szCs w:val="22"/>
                <w:color w:val="auto"/>
                <w:w w:val="97"/>
              </w:rPr>
              <w:t>Adjusted Controller Working Capital Amount</w:t>
            </w:r>
          </w:p>
        </w:tc>
        <w:tc>
          <w:tcPr>
            <w:tcW w:w="540" w:type="dxa"/>
            <w:vAlign w:val="bottom"/>
            <w:gridSpan w:val="2"/>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Deductible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6"/>
              </w:rPr>
              <w:t>Affiliate</w:t>
            </w:r>
          </w:p>
        </w:tc>
        <w:tc>
          <w:tcPr>
            <w:tcW w:w="3240" w:type="dxa"/>
            <w:vAlign w:val="bottom"/>
            <w:gridSpan w:val="22"/>
          </w:tcPr>
          <w:p>
            <w:pPr>
              <w:spacing w:after="0"/>
              <w:rPr>
                <w:sz w:val="24"/>
                <w:szCs w:val="24"/>
                <w:color w:val="auto"/>
              </w:rPr>
            </w:pPr>
          </w:p>
        </w:tc>
        <w:tc>
          <w:tcPr>
            <w:tcW w:w="540" w:type="dxa"/>
            <w:vAlign w:val="bottom"/>
            <w:gridSpan w:val="2"/>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w:t>
            </w:r>
          </w:p>
        </w:tc>
        <w:tc>
          <w:tcPr>
            <w:tcW w:w="15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2"/>
                <w:szCs w:val="22"/>
                <w:color w:val="auto"/>
                <w:w w:val="97"/>
              </w:rPr>
              <w:t>Deferred Payment</w:t>
            </w:r>
          </w:p>
        </w:tc>
        <w:tc>
          <w:tcPr>
            <w:tcW w:w="300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7"/>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Affiliate Transactions</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Deferred Payment Date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7"/>
        </w:trPr>
        <w:tc>
          <w:tcPr>
            <w:tcW w:w="18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2"/>
                <w:szCs w:val="22"/>
                <w:color w:val="auto"/>
              </w:rPr>
              <w:t>Agreement</w:t>
            </w:r>
          </w:p>
        </w:tc>
        <w:tc>
          <w:tcPr>
            <w:tcW w:w="2640" w:type="dxa"/>
            <w:vAlign w:val="bottom"/>
            <w:gridSpan w:val="13"/>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w:t>
            </w:r>
          </w:p>
        </w:tc>
        <w:tc>
          <w:tcPr>
            <w:tcW w:w="204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22"/>
                <w:szCs w:val="22"/>
                <w:color w:val="auto"/>
              </w:rPr>
              <w:t>Determination Date</w:t>
            </w:r>
          </w:p>
        </w:tc>
        <w:tc>
          <w:tcPr>
            <w:tcW w:w="254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40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2"/>
                <w:szCs w:val="22"/>
                <w:color w:val="auto"/>
                <w:w w:val="97"/>
              </w:rPr>
              <w:t>Amended and Restated Articles of Association</w:t>
            </w:r>
          </w:p>
        </w:tc>
        <w:tc>
          <w:tcPr>
            <w:tcW w:w="460" w:type="dxa"/>
            <w:vAlign w:val="bottom"/>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w:t>
            </w: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w w:val="96"/>
              </w:rPr>
              <w:t>Direct Claim</w:t>
            </w:r>
          </w:p>
        </w:tc>
        <w:tc>
          <w:tcPr>
            <w:tcW w:w="3460" w:type="dxa"/>
            <w:vAlign w:val="bottom"/>
            <w:gridSpan w:val="21"/>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7"/>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AMR Approval</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Dispute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AMR Submission Date</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Dispute Notice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19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2"/>
                <w:szCs w:val="22"/>
                <w:color w:val="auto"/>
                <w:w w:val="97"/>
              </w:rPr>
              <w:t>Ancillary Agreements</w:t>
            </w:r>
          </w:p>
        </w:tc>
        <w:tc>
          <w:tcPr>
            <w:tcW w:w="100" w:type="dxa"/>
            <w:vAlign w:val="bottom"/>
            <w:gridSpan w:val="2"/>
          </w:tcPr>
          <w:p>
            <w:pPr>
              <w:spacing w:after="0"/>
              <w:rPr>
                <w:sz w:val="24"/>
                <w:szCs w:val="24"/>
                <w:color w:val="auto"/>
              </w:rPr>
            </w:pPr>
          </w:p>
        </w:tc>
        <w:tc>
          <w:tcPr>
            <w:tcW w:w="2500" w:type="dxa"/>
            <w:vAlign w:val="bottom"/>
            <w:gridSpan w:val="10"/>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15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2"/>
                <w:szCs w:val="22"/>
                <w:color w:val="auto"/>
                <w:w w:val="97"/>
              </w:rPr>
              <w:t>Disputed Matters</w:t>
            </w:r>
          </w:p>
        </w:tc>
        <w:tc>
          <w:tcPr>
            <w:tcW w:w="308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7"/>
        </w:trPr>
        <w:tc>
          <w:tcPr>
            <w:tcW w:w="1940" w:type="dxa"/>
            <w:vAlign w:val="bottom"/>
            <w:gridSpan w:val="17"/>
          </w:tcPr>
          <w:p>
            <w:pPr>
              <w:spacing w:after="0"/>
              <w:rPr>
                <w:sz w:val="20"/>
                <w:szCs w:val="20"/>
                <w:color w:val="auto"/>
              </w:rPr>
            </w:pPr>
            <w:r>
              <w:rPr>
                <w:rFonts w:ascii="Times New Roman" w:cs="Times New Roman" w:eastAsia="Times New Roman" w:hAnsi="Times New Roman"/>
                <w:sz w:val="22"/>
                <w:szCs w:val="22"/>
                <w:color w:val="auto"/>
                <w:w w:val="97"/>
              </w:rPr>
              <w:t>Anti-Corruption Laws</w:t>
            </w:r>
          </w:p>
        </w:tc>
        <w:tc>
          <w:tcPr>
            <w:tcW w:w="2580" w:type="dxa"/>
            <w:vAlign w:val="bottom"/>
            <w:gridSpan w:val="11"/>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Employee Benefit Plan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Application Documents</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40</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Environmental Law</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17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2"/>
                <w:szCs w:val="22"/>
                <w:color w:val="auto"/>
                <w:w w:val="97"/>
              </w:rPr>
              <w:t>Base Purchase Price</w:t>
            </w:r>
          </w:p>
        </w:tc>
        <w:tc>
          <w:tcPr>
            <w:tcW w:w="300" w:type="dxa"/>
            <w:vAlign w:val="bottom"/>
            <w:gridSpan w:val="7"/>
          </w:tcPr>
          <w:p>
            <w:pPr>
              <w:spacing w:after="0"/>
              <w:rPr>
                <w:sz w:val="24"/>
                <w:szCs w:val="24"/>
                <w:color w:val="auto"/>
              </w:rPr>
            </w:pPr>
          </w:p>
        </w:tc>
        <w:tc>
          <w:tcPr>
            <w:tcW w:w="2460" w:type="dxa"/>
            <w:vAlign w:val="bottom"/>
            <w:gridSpan w:val="9"/>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24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2"/>
                <w:szCs w:val="22"/>
                <w:color w:val="auto"/>
                <w:w w:val="98"/>
              </w:rPr>
              <w:t>Estimated Closing Payment</w:t>
            </w:r>
          </w:p>
        </w:tc>
        <w:tc>
          <w:tcPr>
            <w:tcW w:w="214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7"/>
        </w:trPr>
        <w:tc>
          <w:tcPr>
            <w:tcW w:w="12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6"/>
              </w:rPr>
              <w:t>Business Day</w:t>
            </w:r>
          </w:p>
        </w:tc>
        <w:tc>
          <w:tcPr>
            <w:tcW w:w="3320" w:type="dxa"/>
            <w:vAlign w:val="bottom"/>
            <w:gridSpan w:val="19"/>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Estimated Net Debt 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6"/>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w w:val="95"/>
              </w:rPr>
              <w:t>Cash</w:t>
            </w:r>
          </w:p>
        </w:tc>
        <w:tc>
          <w:tcPr>
            <w:tcW w:w="760" w:type="dxa"/>
            <w:vAlign w:val="bottom"/>
            <w:gridSpan w:val="8"/>
          </w:tcPr>
          <w:p>
            <w:pPr>
              <w:spacing w:after="0"/>
              <w:rPr>
                <w:sz w:val="24"/>
                <w:szCs w:val="24"/>
                <w:color w:val="auto"/>
              </w:rPr>
            </w:pPr>
          </w:p>
        </w:tc>
        <w:tc>
          <w:tcPr>
            <w:tcW w:w="3320" w:type="dxa"/>
            <w:vAlign w:val="bottom"/>
            <w:gridSpan w:val="19"/>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Estimated Working Capital Adjustment 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6"/>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6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6"/>
              </w:rPr>
              <w:t>Closing</w:t>
            </w:r>
          </w:p>
        </w:tc>
        <w:tc>
          <w:tcPr>
            <w:tcW w:w="3840" w:type="dxa"/>
            <w:vAlign w:val="bottom"/>
            <w:gridSpan w:val="25"/>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17</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Estimated Working Capital 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6"/>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12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w w:val="98"/>
              </w:rPr>
              <w:t>Closing Cash</w:t>
            </w:r>
          </w:p>
        </w:tc>
        <w:tc>
          <w:tcPr>
            <w:tcW w:w="3320" w:type="dxa"/>
            <w:vAlign w:val="bottom"/>
            <w:gridSpan w:val="19"/>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13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w w:val="96"/>
              </w:rPr>
              <w:t>Exchange Rate</w:t>
            </w:r>
          </w:p>
        </w:tc>
        <w:tc>
          <w:tcPr>
            <w:tcW w:w="326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7"/>
        </w:trPr>
        <w:tc>
          <w:tcPr>
            <w:tcW w:w="1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w w:val="96"/>
              </w:rPr>
              <w:t>Closing Date</w:t>
            </w:r>
          </w:p>
        </w:tc>
        <w:tc>
          <w:tcPr>
            <w:tcW w:w="3380" w:type="dxa"/>
            <w:vAlign w:val="bottom"/>
            <w:gridSpan w:val="21"/>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17</w:t>
            </w:r>
          </w:p>
        </w:tc>
        <w:tc>
          <w:tcPr>
            <w:tcW w:w="14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w w:val="97"/>
              </w:rPr>
              <w:t>Excluded Assets</w:t>
            </w:r>
          </w:p>
        </w:tc>
        <w:tc>
          <w:tcPr>
            <w:tcW w:w="314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7"/>
        </w:trPr>
        <w:tc>
          <w:tcPr>
            <w:tcW w:w="11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w w:val="97"/>
              </w:rPr>
              <w:t>Closing Debt</w:t>
            </w:r>
          </w:p>
        </w:tc>
        <w:tc>
          <w:tcPr>
            <w:tcW w:w="3360" w:type="dxa"/>
            <w:vAlign w:val="bottom"/>
            <w:gridSpan w:val="20"/>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18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2"/>
                <w:szCs w:val="22"/>
                <w:color w:val="auto"/>
                <w:w w:val="97"/>
              </w:rPr>
              <w:t>Excluded Employees</w:t>
            </w:r>
          </w:p>
        </w:tc>
        <w:tc>
          <w:tcPr>
            <w:tcW w:w="272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7"/>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Company</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Final Objection Date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0"/>
        </w:trPr>
        <w:tc>
          <w:tcPr>
            <w:tcW w:w="840" w:type="dxa"/>
            <w:vAlign w:val="bottom"/>
            <w:gridSpan w:val="5"/>
            <w:shd w:val="clear" w:color="auto" w:fill="000000"/>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8"/>
            <w:shd w:val="clear" w:color="auto" w:fill="000000"/>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84"/>
        </w:trPr>
        <w:tc>
          <w:tcPr>
            <w:tcW w:w="2840" w:type="dxa"/>
            <w:vAlign w:val="bottom"/>
            <w:gridSpan w:val="23"/>
          </w:tcPr>
          <w:p>
            <w:pPr>
              <w:spacing w:after="0"/>
              <w:rPr>
                <w:sz w:val="20"/>
                <w:szCs w:val="20"/>
                <w:color w:val="auto"/>
              </w:rPr>
            </w:pPr>
            <w:r>
              <w:rPr>
                <w:rFonts w:ascii="Times New Roman" w:cs="Times New Roman" w:eastAsia="Times New Roman" w:hAnsi="Times New Roman"/>
                <w:sz w:val="22"/>
                <w:szCs w:val="22"/>
                <w:color w:val="auto"/>
                <w:w w:val="97"/>
              </w:rPr>
              <w:t>Company Capital Account Bank</w:t>
            </w:r>
          </w:p>
        </w:tc>
        <w:tc>
          <w:tcPr>
            <w:tcW w:w="1680" w:type="dxa"/>
            <w:vAlign w:val="bottom"/>
            <w:gridSpan w:val="5"/>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284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22"/>
                <w:szCs w:val="22"/>
                <w:color w:val="auto"/>
              </w:rPr>
              <w:t>Company Contracts</w:t>
            </w:r>
          </w:p>
        </w:tc>
        <w:tc>
          <w:tcPr>
            <w:tcW w:w="1680" w:type="dxa"/>
            <w:vAlign w:val="bottom"/>
            <w:gridSpan w:val="5"/>
          </w:tcPr>
          <w:p>
            <w:pPr>
              <w:spacing w:after="0"/>
              <w:rPr>
                <w:sz w:val="23"/>
                <w:szCs w:val="23"/>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28</w:t>
            </w:r>
          </w:p>
        </w:tc>
        <w:tc>
          <w:tcPr>
            <w:tcW w:w="182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2"/>
                <w:szCs w:val="22"/>
                <w:color w:val="auto"/>
              </w:rPr>
              <w:t>Flash Spin-off</w:t>
            </w:r>
          </w:p>
        </w:tc>
        <w:tc>
          <w:tcPr>
            <w:tcW w:w="2760" w:type="dxa"/>
            <w:vAlign w:val="bottom"/>
            <w:gridSpan w:val="11"/>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0"/>
        </w:trPr>
        <w:tc>
          <w:tcPr>
            <w:tcW w:w="1720" w:type="dxa"/>
            <w:vAlign w:val="bottom"/>
            <w:gridSpan w:val="11"/>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1860" w:type="dxa"/>
            <w:vAlign w:val="bottom"/>
            <w:gridSpan w:val="14"/>
          </w:tcPr>
          <w:p>
            <w:pPr>
              <w:spacing w:after="0"/>
              <w:rPr>
                <w:sz w:val="20"/>
                <w:szCs w:val="20"/>
                <w:color w:val="auto"/>
              </w:rPr>
            </w:pPr>
            <w:r>
              <w:rPr>
                <w:rFonts w:ascii="Times New Roman" w:cs="Times New Roman" w:eastAsia="Times New Roman" w:hAnsi="Times New Roman"/>
                <w:sz w:val="22"/>
                <w:szCs w:val="22"/>
                <w:color w:val="auto"/>
                <w:w w:val="97"/>
              </w:rPr>
              <w:t>Company Employees</w:t>
            </w:r>
          </w:p>
        </w:tc>
        <w:tc>
          <w:tcPr>
            <w:tcW w:w="2660" w:type="dxa"/>
            <w:vAlign w:val="bottom"/>
            <w:gridSpan w:val="14"/>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42</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Fraud</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0"/>
        </w:trPr>
        <w:tc>
          <w:tcPr>
            <w:tcW w:w="1860" w:type="dxa"/>
            <w:vAlign w:val="bottom"/>
            <w:gridSpan w:val="14"/>
            <w:shd w:val="clear" w:color="auto" w:fill="00000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45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Company Material Adverse Effect</w:t>
            </w: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Full Transition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0"/>
        </w:trPr>
        <w:tc>
          <w:tcPr>
            <w:tcW w:w="2100" w:type="dxa"/>
            <w:vAlign w:val="bottom"/>
            <w:gridSpan w:val="20"/>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2100" w:type="dxa"/>
            <w:vAlign w:val="bottom"/>
            <w:gridSpan w:val="20"/>
          </w:tcPr>
          <w:p>
            <w:pPr>
              <w:spacing w:after="0"/>
              <w:rPr>
                <w:sz w:val="20"/>
                <w:szCs w:val="20"/>
                <w:color w:val="auto"/>
              </w:rPr>
            </w:pPr>
            <w:r>
              <w:rPr>
                <w:rFonts w:ascii="Times New Roman" w:cs="Times New Roman" w:eastAsia="Times New Roman" w:hAnsi="Times New Roman"/>
                <w:sz w:val="22"/>
                <w:szCs w:val="22"/>
                <w:color w:val="auto"/>
                <w:w w:val="97"/>
              </w:rPr>
              <w:t>Company Real Property</w:t>
            </w:r>
          </w:p>
        </w:tc>
        <w:tc>
          <w:tcPr>
            <w:tcW w:w="880" w:type="dxa"/>
            <w:vAlign w:val="bottom"/>
            <w:gridSpan w:val="4"/>
          </w:tcPr>
          <w:p>
            <w:pPr>
              <w:spacing w:after="0"/>
              <w:rPr>
                <w:sz w:val="24"/>
                <w:szCs w:val="24"/>
                <w:color w:val="auto"/>
              </w:rPr>
            </w:pPr>
          </w:p>
        </w:tc>
        <w:tc>
          <w:tcPr>
            <w:tcW w:w="1540" w:type="dxa"/>
            <w:vAlign w:val="bottom"/>
            <w:gridSpan w:val="4"/>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24</w:t>
            </w:r>
          </w:p>
        </w:tc>
        <w:tc>
          <w:tcPr>
            <w:tcW w:w="4580" w:type="dxa"/>
            <w:vAlign w:val="bottom"/>
            <w:gridSpan w:val="26"/>
          </w:tcPr>
          <w:p>
            <w:pPr>
              <w:spacing w:after="0"/>
              <w:rPr>
                <w:sz w:val="20"/>
                <w:szCs w:val="20"/>
                <w:color w:val="auto"/>
              </w:rPr>
            </w:pPr>
            <w:r>
              <w:rPr>
                <w:rFonts w:ascii="Times New Roman" w:cs="Times New Roman" w:eastAsia="Times New Roman" w:hAnsi="Times New Roman"/>
                <w:sz w:val="22"/>
                <w:szCs w:val="22"/>
                <w:color w:val="auto"/>
              </w:rPr>
              <w:t>General Enforceability Exceptions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0"/>
        </w:trPr>
        <w:tc>
          <w:tcPr>
            <w:tcW w:w="2100" w:type="dxa"/>
            <w:vAlign w:val="bottom"/>
            <w:gridSpan w:val="20"/>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Borders>
              <w:right w:val="single" w:sz="8" w:color="auto"/>
            </w:tcBorders>
            <w:gridSpan w:val="15"/>
            <w:shd w:val="clear" w:color="auto" w:fill="000000"/>
          </w:tcPr>
          <w:p>
            <w:pPr>
              <w:spacing w:after="0" w:line="20" w:lineRule="exact"/>
              <w:rPr>
                <w:sz w:val="1"/>
                <w:szCs w:val="1"/>
                <w:color w:val="auto"/>
              </w:rPr>
            </w:pPr>
          </w:p>
        </w:tc>
        <w:tc>
          <w:tcPr>
            <w:tcW w:w="1160" w:type="dxa"/>
            <w:vAlign w:val="bottom"/>
            <w:gridSpan w:val="7"/>
            <w:shd w:val="clear" w:color="auto" w:fill="000000"/>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274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22"/>
                <w:szCs w:val="22"/>
                <w:color w:val="auto"/>
                <w:w w:val="97"/>
              </w:rPr>
              <w:t>Company Real Property Leases</w:t>
            </w:r>
          </w:p>
        </w:tc>
        <w:tc>
          <w:tcPr>
            <w:tcW w:w="1780" w:type="dxa"/>
            <w:vAlign w:val="bottom"/>
            <w:gridSpan w:val="6"/>
          </w:tcPr>
          <w:p>
            <w:pPr>
              <w:spacing w:after="0"/>
              <w:rPr>
                <w:sz w:val="24"/>
                <w:szCs w:val="24"/>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w:t>
            </w:r>
          </w:p>
        </w:tc>
        <w:tc>
          <w:tcPr>
            <w:tcW w:w="182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2"/>
                <w:szCs w:val="22"/>
                <w:color w:val="auto"/>
                <w:w w:val="96"/>
              </w:rPr>
              <w:t>Government Official</w:t>
            </w:r>
          </w:p>
        </w:tc>
        <w:tc>
          <w:tcPr>
            <w:tcW w:w="276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pacing w:after="0" w:line="200" w:lineRule="exact"/>
        <w:rPr>
          <w:sz w:val="20"/>
          <w:szCs w:val="20"/>
          <w:color w:val="auto"/>
        </w:rPr>
      </w:pPr>
    </w:p>
    <w:p>
      <w:pPr>
        <w:sectPr>
          <w:pgSz w:w="11900" w:h="16838" w:orient="portrait"/>
          <w:cols w:equalWidth="0" w:num="1">
            <w:col w:w="11200"/>
          </w:cols>
          <w:pgMar w:left="3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1200"/>
          </w:cols>
          <w:pgMar w:left="340" w:top="1418" w:right="35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53"/>
        </w:trPr>
        <w:tc>
          <w:tcPr>
            <w:tcW w:w="4000" w:type="dxa"/>
            <w:vAlign w:val="bottom"/>
            <w:gridSpan w:val="30"/>
          </w:tcPr>
          <w:p>
            <w:pPr>
              <w:spacing w:after="0"/>
              <w:rPr>
                <w:sz w:val="20"/>
                <w:szCs w:val="20"/>
                <w:color w:val="auto"/>
              </w:rPr>
            </w:pPr>
            <w:r>
              <w:rPr>
                <w:rFonts w:ascii="Times New Roman" w:cs="Times New Roman" w:eastAsia="Times New Roman" w:hAnsi="Times New Roman"/>
                <w:sz w:val="22"/>
                <w:szCs w:val="22"/>
                <w:color w:val="auto"/>
              </w:rPr>
              <w:t>Company Transaction Expenses</w:t>
            </w: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w:t>
            </w:r>
          </w:p>
        </w:tc>
        <w:tc>
          <w:tcPr>
            <w:tcW w:w="4180" w:type="dxa"/>
            <w:vAlign w:val="bottom"/>
            <w:gridSpan w:val="31"/>
          </w:tcPr>
          <w:p>
            <w:pPr>
              <w:spacing w:after="0"/>
              <w:rPr>
                <w:sz w:val="20"/>
                <w:szCs w:val="20"/>
                <w:color w:val="auto"/>
              </w:rPr>
            </w:pPr>
            <w:r>
              <w:rPr>
                <w:rFonts w:ascii="Times New Roman" w:cs="Times New Roman" w:eastAsia="Times New Roman" w:hAnsi="Times New Roman"/>
                <w:sz w:val="22"/>
                <w:szCs w:val="22"/>
                <w:color w:val="auto"/>
              </w:rPr>
              <w:t>Governmental Authority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7"/>
        </w:trPr>
        <w:tc>
          <w:tcPr>
            <w:tcW w:w="1900" w:type="dxa"/>
            <w:vAlign w:val="bottom"/>
            <w:tcBorders>
              <w:top w:val="single" w:sz="8" w:color="auto"/>
              <w:bottom w:val="single" w:sz="8" w:color="auto"/>
            </w:tcBorders>
            <w:gridSpan w:val="17"/>
          </w:tcPr>
          <w:p>
            <w:pPr>
              <w:spacing w:after="0"/>
              <w:rPr>
                <w:sz w:val="20"/>
                <w:szCs w:val="20"/>
                <w:color w:val="auto"/>
              </w:rPr>
            </w:pPr>
            <w:r>
              <w:rPr>
                <w:rFonts w:ascii="Times New Roman" w:cs="Times New Roman" w:eastAsia="Times New Roman" w:hAnsi="Times New Roman"/>
                <w:sz w:val="22"/>
                <w:szCs w:val="22"/>
                <w:color w:val="auto"/>
                <w:w w:val="97"/>
              </w:rPr>
              <w:t>Completion Accounts</w:t>
            </w:r>
          </w:p>
        </w:tc>
        <w:tc>
          <w:tcPr>
            <w:tcW w:w="880" w:type="dxa"/>
            <w:vAlign w:val="bottom"/>
            <w:tcBorders>
              <w:top w:val="single" w:sz="8" w:color="auto"/>
            </w:tcBorders>
            <w:gridSpan w:val="12"/>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w:t>
            </w:r>
          </w:p>
        </w:tc>
        <w:tc>
          <w:tcPr>
            <w:tcW w:w="1800" w:type="dxa"/>
            <w:vAlign w:val="bottom"/>
            <w:tcBorders>
              <w:top w:val="single" w:sz="8" w:color="auto"/>
              <w:bottom w:val="single" w:sz="8" w:color="auto"/>
            </w:tcBorders>
            <w:gridSpan w:val="19"/>
          </w:tcPr>
          <w:p>
            <w:pPr>
              <w:spacing w:after="0"/>
              <w:rPr>
                <w:sz w:val="20"/>
                <w:szCs w:val="20"/>
                <w:color w:val="auto"/>
              </w:rPr>
            </w:pPr>
            <w:r>
              <w:rPr>
                <w:rFonts w:ascii="Times New Roman" w:cs="Times New Roman" w:eastAsia="Times New Roman" w:hAnsi="Times New Roman"/>
                <w:sz w:val="22"/>
                <w:szCs w:val="22"/>
                <w:color w:val="auto"/>
                <w:w w:val="97"/>
              </w:rPr>
              <w:t>Hazardous Materials</w:t>
            </w:r>
          </w:p>
        </w:tc>
        <w:tc>
          <w:tcPr>
            <w:tcW w:w="320" w:type="dxa"/>
            <w:vAlign w:val="bottom"/>
            <w:tcBorders>
              <w:top w:val="single" w:sz="8" w:color="auto"/>
            </w:tcBorders>
            <w:gridSpan w:val="4"/>
          </w:tcPr>
          <w:p>
            <w:pPr>
              <w:spacing w:after="0"/>
              <w:rPr>
                <w:sz w:val="24"/>
                <w:szCs w:val="24"/>
                <w:color w:val="auto"/>
              </w:rPr>
            </w:pPr>
          </w:p>
        </w:tc>
        <w:tc>
          <w:tcPr>
            <w:tcW w:w="206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7"/>
        </w:trPr>
        <w:tc>
          <w:tcPr>
            <w:tcW w:w="1820" w:type="dxa"/>
            <w:vAlign w:val="bottom"/>
            <w:gridSpan w:val="16"/>
          </w:tcPr>
          <w:p>
            <w:pPr>
              <w:spacing w:after="0"/>
              <w:rPr>
                <w:sz w:val="20"/>
                <w:szCs w:val="20"/>
                <w:color w:val="auto"/>
              </w:rPr>
            </w:pPr>
            <w:r>
              <w:rPr>
                <w:rFonts w:ascii="Times New Roman" w:cs="Times New Roman" w:eastAsia="Times New Roman" w:hAnsi="Times New Roman"/>
                <w:sz w:val="22"/>
                <w:szCs w:val="22"/>
                <w:color w:val="auto"/>
                <w:w w:val="96"/>
              </w:rPr>
              <w:t>Condition to Closing</w:t>
            </w:r>
          </w:p>
        </w:tc>
        <w:tc>
          <w:tcPr>
            <w:tcW w:w="2180" w:type="dxa"/>
            <w:vAlign w:val="bottom"/>
            <w:gridSpan w:val="14"/>
          </w:tcPr>
          <w:p>
            <w:pPr>
              <w:spacing w:after="0"/>
              <w:rPr>
                <w:sz w:val="24"/>
                <w:szCs w:val="24"/>
                <w:color w:val="auto"/>
              </w:rPr>
            </w:pP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w:t>
            </w:r>
          </w:p>
        </w:tc>
        <w:tc>
          <w:tcPr>
            <w:tcW w:w="4180" w:type="dxa"/>
            <w:vAlign w:val="bottom"/>
            <w:gridSpan w:val="31"/>
          </w:tcPr>
          <w:p>
            <w:pPr>
              <w:spacing w:after="0"/>
              <w:rPr>
                <w:sz w:val="20"/>
                <w:szCs w:val="20"/>
                <w:color w:val="auto"/>
              </w:rPr>
            </w:pPr>
            <w:r>
              <w:rPr>
                <w:rFonts w:ascii="Times New Roman" w:cs="Times New Roman" w:eastAsia="Times New Roman" w:hAnsi="Times New Roman"/>
                <w:sz w:val="22"/>
                <w:szCs w:val="22"/>
                <w:color w:val="auto"/>
              </w:rPr>
              <w:t>HKIAC</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6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4460" w:type="dxa"/>
            <w:vAlign w:val="bottom"/>
            <w:tcBorders>
              <w:right w:val="single" w:sz="8" w:color="auto"/>
            </w:tcBorders>
            <w:gridSpan w:val="17"/>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760" w:type="dxa"/>
            <w:vAlign w:val="bottom"/>
            <w:gridSpan w:val="28"/>
          </w:tcPr>
          <w:p>
            <w:pPr>
              <w:spacing w:after="0" w:line="20" w:lineRule="exact"/>
              <w:rPr>
                <w:sz w:val="1"/>
                <w:szCs w:val="1"/>
                <w:color w:val="auto"/>
              </w:rPr>
            </w:pPr>
          </w:p>
        </w:tc>
      </w:tr>
      <w:tr>
        <w:trPr>
          <w:trHeight w:val="277"/>
        </w:trPr>
        <w:tc>
          <w:tcPr>
            <w:tcW w:w="220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22"/>
                <w:szCs w:val="22"/>
                <w:color w:val="auto"/>
                <w:w w:val="98"/>
              </w:rPr>
              <w:t>Confidential Information</w:t>
            </w:r>
          </w:p>
        </w:tc>
        <w:tc>
          <w:tcPr>
            <w:tcW w:w="1800" w:type="dxa"/>
            <w:vAlign w:val="bottom"/>
            <w:gridSpan w:val="6"/>
          </w:tcPr>
          <w:p>
            <w:pPr>
              <w:spacing w:after="0"/>
              <w:rPr>
                <w:sz w:val="24"/>
                <w:szCs w:val="24"/>
                <w:color w:val="auto"/>
              </w:rPr>
            </w:pP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38</w:t>
            </w:r>
          </w:p>
        </w:tc>
        <w:tc>
          <w:tcPr>
            <w:tcW w:w="10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2"/>
                <w:szCs w:val="22"/>
                <w:color w:val="auto"/>
                <w:w w:val="96"/>
              </w:rPr>
              <w:t>Hong Kong</w:t>
            </w:r>
          </w:p>
        </w:tc>
        <w:tc>
          <w:tcPr>
            <w:tcW w:w="3160" w:type="dxa"/>
            <w:vAlign w:val="bottom"/>
            <w:gridSpan w:val="2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7"/>
        </w:trPr>
        <w:tc>
          <w:tcPr>
            <w:tcW w:w="6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85"/>
              </w:rPr>
              <w:t>Consent</w:t>
            </w:r>
          </w:p>
        </w:tc>
        <w:tc>
          <w:tcPr>
            <w:tcW w:w="3340" w:type="dxa"/>
            <w:vAlign w:val="bottom"/>
            <w:gridSpan w:val="24"/>
          </w:tcPr>
          <w:p>
            <w:pPr>
              <w:spacing w:after="0"/>
              <w:rPr>
                <w:sz w:val="24"/>
                <w:szCs w:val="24"/>
                <w:color w:val="auto"/>
              </w:rPr>
            </w:pP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w:t>
            </w:r>
          </w:p>
        </w:tc>
        <w:tc>
          <w:tcPr>
            <w:tcW w:w="4180" w:type="dxa"/>
            <w:vAlign w:val="bottom"/>
            <w:gridSpan w:val="31"/>
          </w:tcPr>
          <w:p>
            <w:pPr>
              <w:spacing w:after="0"/>
              <w:rPr>
                <w:sz w:val="20"/>
                <w:szCs w:val="20"/>
                <w:color w:val="auto"/>
              </w:rPr>
            </w:pPr>
            <w:r>
              <w:rPr>
                <w:rFonts w:ascii="Times New Roman" w:cs="Times New Roman" w:eastAsia="Times New Roman" w:hAnsi="Times New Roman"/>
                <w:sz w:val="22"/>
                <w:szCs w:val="22"/>
                <w:color w:val="auto"/>
              </w:rPr>
              <w:t>Indebtedness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5620" w:type="dxa"/>
            <w:vAlign w:val="bottom"/>
            <w:tcBorders>
              <w:left w:val="single" w:sz="8" w:color="auto"/>
              <w:right w:val="single" w:sz="8" w:color="auto"/>
            </w:tcBorders>
            <w:gridSpan w:val="27"/>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540" w:type="dxa"/>
            <w:vAlign w:val="bottom"/>
            <w:tcBorders>
              <w:left w:val="single" w:sz="8" w:color="auto"/>
            </w:tcBorders>
            <w:gridSpan w:val="25"/>
            <w:shd w:val="clear" w:color="auto" w:fill="000000"/>
          </w:tcPr>
          <w:p>
            <w:pPr>
              <w:spacing w:after="0" w:line="20" w:lineRule="exact"/>
              <w:rPr>
                <w:sz w:val="1"/>
                <w:szCs w:val="1"/>
                <w:color w:val="auto"/>
              </w:rPr>
            </w:pPr>
          </w:p>
        </w:tc>
      </w:tr>
      <w:tr>
        <w:trPr>
          <w:trHeight w:val="277"/>
        </w:trPr>
        <w:tc>
          <w:tcPr>
            <w:tcW w:w="244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22"/>
                <w:szCs w:val="22"/>
                <w:color w:val="auto"/>
                <w:w w:val="96"/>
              </w:rPr>
              <w:t>Indemnification Tax Benefit</w:t>
            </w:r>
          </w:p>
        </w:tc>
        <w:tc>
          <w:tcPr>
            <w:tcW w:w="1560" w:type="dxa"/>
            <w:vAlign w:val="bottom"/>
            <w:gridSpan w:val="2"/>
          </w:tcPr>
          <w:p>
            <w:pPr>
              <w:spacing w:after="0"/>
              <w:rPr>
                <w:sz w:val="24"/>
                <w:szCs w:val="24"/>
                <w:color w:val="auto"/>
              </w:rPr>
            </w:pP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w:t>
            </w:r>
          </w:p>
        </w:tc>
        <w:tc>
          <w:tcPr>
            <w:tcW w:w="4180" w:type="dxa"/>
            <w:vAlign w:val="bottom"/>
            <w:gridSpan w:val="31"/>
          </w:tcPr>
          <w:p>
            <w:pPr>
              <w:spacing w:after="0"/>
              <w:rPr>
                <w:sz w:val="20"/>
                <w:szCs w:val="20"/>
                <w:color w:val="auto"/>
              </w:rPr>
            </w:pPr>
            <w:r>
              <w:rPr>
                <w:rFonts w:ascii="Times New Roman" w:cs="Times New Roman" w:eastAsia="Times New Roman" w:hAnsi="Times New Roman"/>
                <w:sz w:val="22"/>
                <w:szCs w:val="22"/>
                <w:color w:val="auto"/>
              </w:rPr>
              <w:t>Response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740" w:type="dxa"/>
            <w:vAlign w:val="bottom"/>
            <w:gridSpan w:val="14"/>
          </w:tcPr>
          <w:p>
            <w:pPr>
              <w:spacing w:after="0" w:line="224" w:lineRule="exact"/>
              <w:rPr>
                <w:sz w:val="20"/>
                <w:szCs w:val="20"/>
                <w:color w:val="auto"/>
              </w:rPr>
            </w:pPr>
            <w:r>
              <w:rPr>
                <w:rFonts w:ascii="Times New Roman" w:cs="Times New Roman" w:eastAsia="Times New Roman" w:hAnsi="Times New Roman"/>
                <w:sz w:val="22"/>
                <w:szCs w:val="22"/>
                <w:color w:val="auto"/>
                <w:w w:val="98"/>
              </w:rPr>
              <w:t>Indemnified Person</w:t>
            </w:r>
          </w:p>
        </w:tc>
        <w:tc>
          <w:tcPr>
            <w:tcW w:w="2260" w:type="dxa"/>
            <w:vAlign w:val="bottom"/>
            <w:gridSpan w:val="16"/>
          </w:tcPr>
          <w:p>
            <w:pPr>
              <w:spacing w:after="0"/>
              <w:rPr>
                <w:sz w:val="19"/>
                <w:szCs w:val="19"/>
                <w:color w:val="auto"/>
              </w:rPr>
            </w:pPr>
          </w:p>
        </w:tc>
        <w:tc>
          <w:tcPr>
            <w:tcW w:w="1760" w:type="dxa"/>
            <w:vAlign w:val="bottom"/>
          </w:tcPr>
          <w:p>
            <w:pPr>
              <w:jc w:val="right"/>
              <w:ind w:right="232"/>
              <w:spacing w:after="0" w:line="224" w:lineRule="exact"/>
              <w:rPr>
                <w:sz w:val="20"/>
                <w:szCs w:val="20"/>
                <w:color w:val="auto"/>
              </w:rPr>
            </w:pPr>
            <w:r>
              <w:rPr>
                <w:rFonts w:ascii="Times New Roman" w:cs="Times New Roman" w:eastAsia="Times New Roman" w:hAnsi="Times New Roman"/>
                <w:sz w:val="22"/>
                <w:szCs w:val="22"/>
                <w:color w:val="auto"/>
              </w:rPr>
              <w:t>59</w:t>
            </w:r>
          </w:p>
        </w:tc>
        <w:tc>
          <w:tcPr>
            <w:tcW w:w="4180" w:type="dxa"/>
            <w:vAlign w:val="bottom"/>
            <w:gridSpan w:val="31"/>
          </w:tcPr>
          <w:p>
            <w:pPr>
              <w:spacing w:after="0" w:line="224" w:lineRule="exact"/>
              <w:rPr>
                <w:sz w:val="20"/>
                <w:szCs w:val="20"/>
                <w:color w:val="auto"/>
              </w:rPr>
            </w:pPr>
            <w:r>
              <w:rPr>
                <w:rFonts w:ascii="Times New Roman" w:cs="Times New Roman" w:eastAsia="Times New Roman" w:hAnsi="Times New Roman"/>
                <w:sz w:val="22"/>
                <w:szCs w:val="22"/>
                <w:color w:val="auto"/>
              </w:rPr>
              <w:t>Restraints</w:t>
            </w:r>
          </w:p>
        </w:tc>
        <w:tc>
          <w:tcPr>
            <w:tcW w:w="126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51</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Indemnifying Person</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59</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SAFE Registration Voucher</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Independent Accountant</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SAMR</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780" w:type="dxa"/>
            <w:vAlign w:val="bottom"/>
            <w:tcBorders>
              <w:bottom w:val="single" w:sz="8" w:color="auto"/>
            </w:tcBorders>
            <w:gridSpan w:val="15"/>
          </w:tcPr>
          <w:p>
            <w:pPr>
              <w:spacing w:after="0" w:line="237" w:lineRule="exact"/>
              <w:rPr>
                <w:sz w:val="20"/>
                <w:szCs w:val="20"/>
                <w:color w:val="auto"/>
              </w:rPr>
            </w:pPr>
            <w:r>
              <w:rPr>
                <w:rFonts w:ascii="Times New Roman" w:cs="Times New Roman" w:eastAsia="Times New Roman" w:hAnsi="Times New Roman"/>
                <w:sz w:val="22"/>
                <w:szCs w:val="22"/>
                <w:color w:val="auto"/>
                <w:w w:val="97"/>
              </w:rPr>
              <w:t>Intellectual Property</w:t>
            </w:r>
          </w:p>
        </w:tc>
        <w:tc>
          <w:tcPr>
            <w:tcW w:w="340" w:type="dxa"/>
            <w:vAlign w:val="bottom"/>
            <w:gridSpan w:val="5"/>
          </w:tcPr>
          <w:p>
            <w:pPr>
              <w:spacing w:after="0"/>
              <w:rPr>
                <w:sz w:val="20"/>
                <w:szCs w:val="20"/>
                <w:color w:val="auto"/>
              </w:rPr>
            </w:pPr>
          </w:p>
        </w:tc>
        <w:tc>
          <w:tcPr>
            <w:tcW w:w="1880" w:type="dxa"/>
            <w:vAlign w:val="bottom"/>
            <w:gridSpan w:val="10"/>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6</w:t>
            </w:r>
          </w:p>
        </w:tc>
        <w:tc>
          <w:tcPr>
            <w:tcW w:w="1600" w:type="dxa"/>
            <w:vAlign w:val="bottom"/>
            <w:tcBorders>
              <w:bottom w:val="single" w:sz="8" w:color="auto"/>
            </w:tcBorders>
            <w:gridSpan w:val="17"/>
          </w:tcPr>
          <w:p>
            <w:pPr>
              <w:spacing w:after="0" w:line="237" w:lineRule="exact"/>
              <w:rPr>
                <w:sz w:val="20"/>
                <w:szCs w:val="20"/>
                <w:color w:val="auto"/>
              </w:rPr>
            </w:pPr>
            <w:r>
              <w:rPr>
                <w:rFonts w:ascii="Times New Roman" w:cs="Times New Roman" w:eastAsia="Times New Roman" w:hAnsi="Times New Roman"/>
                <w:sz w:val="22"/>
                <w:szCs w:val="22"/>
                <w:color w:val="auto"/>
                <w:w w:val="96"/>
              </w:rPr>
              <w:t>Sanctioned Person</w:t>
            </w:r>
          </w:p>
        </w:tc>
        <w:tc>
          <w:tcPr>
            <w:tcW w:w="2580" w:type="dxa"/>
            <w:vAlign w:val="bottom"/>
            <w:gridSpan w:val="14"/>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r>
      <w:tr>
        <w:trPr>
          <w:trHeight w:val="237"/>
        </w:trPr>
        <w:tc>
          <w:tcPr>
            <w:tcW w:w="1260" w:type="dxa"/>
            <w:vAlign w:val="bottom"/>
            <w:tcBorders>
              <w:bottom w:val="single" w:sz="8" w:color="auto"/>
            </w:tcBorders>
            <w:gridSpan w:val="8"/>
          </w:tcPr>
          <w:p>
            <w:pPr>
              <w:spacing w:after="0" w:line="237" w:lineRule="exact"/>
              <w:rPr>
                <w:sz w:val="20"/>
                <w:szCs w:val="20"/>
                <w:color w:val="auto"/>
              </w:rPr>
            </w:pPr>
            <w:r>
              <w:rPr>
                <w:rFonts w:ascii="Times New Roman" w:cs="Times New Roman" w:eastAsia="Times New Roman" w:hAnsi="Times New Roman"/>
                <w:sz w:val="22"/>
                <w:szCs w:val="22"/>
                <w:color w:val="auto"/>
                <w:w w:val="97"/>
              </w:rPr>
              <w:t>Interim Period</w:t>
            </w:r>
          </w:p>
        </w:tc>
        <w:tc>
          <w:tcPr>
            <w:tcW w:w="2740" w:type="dxa"/>
            <w:vAlign w:val="bottom"/>
            <w:gridSpan w:val="22"/>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6</w:t>
            </w:r>
          </w:p>
        </w:tc>
        <w:tc>
          <w:tcPr>
            <w:tcW w:w="1360" w:type="dxa"/>
            <w:vAlign w:val="bottom"/>
            <w:tcBorders>
              <w:bottom w:val="single" w:sz="8" w:color="auto"/>
            </w:tcBorders>
            <w:gridSpan w:val="14"/>
          </w:tcPr>
          <w:p>
            <w:pPr>
              <w:spacing w:after="0" w:line="237" w:lineRule="exact"/>
              <w:rPr>
                <w:sz w:val="20"/>
                <w:szCs w:val="20"/>
                <w:color w:val="auto"/>
              </w:rPr>
            </w:pPr>
            <w:r>
              <w:rPr>
                <w:rFonts w:ascii="Times New Roman" w:cs="Times New Roman" w:eastAsia="Times New Roman" w:hAnsi="Times New Roman"/>
                <w:sz w:val="22"/>
                <w:szCs w:val="22"/>
                <w:color w:val="auto"/>
                <w:w w:val="96"/>
              </w:rPr>
              <w:t>Sanctions Laws</w:t>
            </w:r>
          </w:p>
        </w:tc>
        <w:tc>
          <w:tcPr>
            <w:tcW w:w="2820" w:type="dxa"/>
            <w:vAlign w:val="bottom"/>
            <w:gridSpan w:val="17"/>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r>
      <w:tr>
        <w:trPr>
          <w:trHeight w:val="237"/>
        </w:trPr>
        <w:tc>
          <w:tcPr>
            <w:tcW w:w="1920" w:type="dxa"/>
            <w:vAlign w:val="bottom"/>
            <w:gridSpan w:val="18"/>
          </w:tcPr>
          <w:p>
            <w:pPr>
              <w:spacing w:after="0" w:line="237" w:lineRule="exact"/>
              <w:rPr>
                <w:sz w:val="20"/>
                <w:szCs w:val="20"/>
                <w:color w:val="auto"/>
              </w:rPr>
            </w:pPr>
            <w:r>
              <w:rPr>
                <w:rFonts w:ascii="Times New Roman" w:cs="Times New Roman" w:eastAsia="Times New Roman" w:hAnsi="Times New Roman"/>
                <w:sz w:val="22"/>
                <w:szCs w:val="22"/>
                <w:color w:val="auto"/>
                <w:w w:val="95"/>
              </w:rPr>
              <w:t>IP License Agreement</w:t>
            </w:r>
          </w:p>
        </w:tc>
        <w:tc>
          <w:tcPr>
            <w:tcW w:w="2080" w:type="dxa"/>
            <w:vAlign w:val="bottom"/>
            <w:gridSpan w:val="12"/>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6</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Second Installment Payment</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Knowledge of Purchaser</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6</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Seller</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820" w:type="dxa"/>
            <w:vAlign w:val="bottom"/>
            <w:tcBorders>
              <w:bottom w:val="single" w:sz="8" w:color="auto"/>
            </w:tcBorders>
            <w:gridSpan w:val="16"/>
          </w:tcPr>
          <w:p>
            <w:pPr>
              <w:spacing w:after="0" w:line="237" w:lineRule="exact"/>
              <w:rPr>
                <w:sz w:val="20"/>
                <w:szCs w:val="20"/>
                <w:color w:val="auto"/>
              </w:rPr>
            </w:pPr>
            <w:r>
              <w:rPr>
                <w:rFonts w:ascii="Times New Roman" w:cs="Times New Roman" w:eastAsia="Times New Roman" w:hAnsi="Times New Roman"/>
                <w:sz w:val="22"/>
                <w:szCs w:val="22"/>
                <w:color w:val="auto"/>
                <w:w w:val="97"/>
              </w:rPr>
              <w:t>Knowledge of Seller</w:t>
            </w:r>
          </w:p>
        </w:tc>
        <w:tc>
          <w:tcPr>
            <w:tcW w:w="320" w:type="dxa"/>
            <w:vAlign w:val="bottom"/>
            <w:gridSpan w:val="5"/>
          </w:tcPr>
          <w:p>
            <w:pPr>
              <w:spacing w:after="0"/>
              <w:rPr>
                <w:sz w:val="20"/>
                <w:szCs w:val="20"/>
                <w:color w:val="auto"/>
              </w:rPr>
            </w:pPr>
          </w:p>
        </w:tc>
        <w:tc>
          <w:tcPr>
            <w:tcW w:w="1860" w:type="dxa"/>
            <w:vAlign w:val="bottom"/>
            <w:gridSpan w:val="9"/>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6</w:t>
            </w:r>
          </w:p>
        </w:tc>
        <w:tc>
          <w:tcPr>
            <w:tcW w:w="2400" w:type="dxa"/>
            <w:vAlign w:val="bottom"/>
            <w:tcBorders>
              <w:bottom w:val="single" w:sz="8" w:color="auto"/>
            </w:tcBorders>
            <w:gridSpan w:val="25"/>
          </w:tcPr>
          <w:p>
            <w:pPr>
              <w:spacing w:after="0" w:line="237" w:lineRule="exact"/>
              <w:rPr>
                <w:sz w:val="20"/>
                <w:szCs w:val="20"/>
                <w:color w:val="auto"/>
              </w:rPr>
            </w:pPr>
            <w:r>
              <w:rPr>
                <w:rFonts w:ascii="Times New Roman" w:cs="Times New Roman" w:eastAsia="Times New Roman" w:hAnsi="Times New Roman"/>
                <w:sz w:val="22"/>
                <w:szCs w:val="22"/>
                <w:color w:val="auto"/>
                <w:w w:val="99"/>
              </w:rPr>
              <w:t>Seller Controller Inventory</w:t>
            </w:r>
          </w:p>
        </w:tc>
        <w:tc>
          <w:tcPr>
            <w:tcW w:w="1780" w:type="dxa"/>
            <w:vAlign w:val="bottom"/>
            <w:gridSpan w:val="6"/>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50</w:t>
            </w:r>
          </w:p>
        </w:tc>
      </w:tr>
      <w:tr>
        <w:trPr>
          <w:trHeight w:val="237"/>
        </w:trPr>
        <w:tc>
          <w:tcPr>
            <w:tcW w:w="1740" w:type="dxa"/>
            <w:vAlign w:val="bottom"/>
            <w:tcBorders>
              <w:bottom w:val="single" w:sz="8" w:color="auto"/>
            </w:tcBorders>
            <w:gridSpan w:val="14"/>
          </w:tcPr>
          <w:p>
            <w:pPr>
              <w:spacing w:after="0" w:line="237" w:lineRule="exact"/>
              <w:rPr>
                <w:sz w:val="20"/>
                <w:szCs w:val="20"/>
                <w:color w:val="auto"/>
              </w:rPr>
            </w:pPr>
            <w:r>
              <w:rPr>
                <w:rFonts w:ascii="Times New Roman" w:cs="Times New Roman" w:eastAsia="Times New Roman" w:hAnsi="Times New Roman"/>
                <w:sz w:val="22"/>
                <w:szCs w:val="22"/>
                <w:color w:val="auto"/>
                <w:w w:val="98"/>
              </w:rPr>
              <w:t>Labor Organization</w:t>
            </w:r>
          </w:p>
        </w:tc>
        <w:tc>
          <w:tcPr>
            <w:tcW w:w="2260" w:type="dxa"/>
            <w:vAlign w:val="bottom"/>
            <w:gridSpan w:val="16"/>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6</w:t>
            </w:r>
          </w:p>
        </w:tc>
        <w:tc>
          <w:tcPr>
            <w:tcW w:w="2060" w:type="dxa"/>
            <w:vAlign w:val="bottom"/>
            <w:tcBorders>
              <w:bottom w:val="single" w:sz="8" w:color="auto"/>
            </w:tcBorders>
            <w:gridSpan w:val="22"/>
          </w:tcPr>
          <w:p>
            <w:pPr>
              <w:spacing w:after="0" w:line="237" w:lineRule="exact"/>
              <w:rPr>
                <w:sz w:val="20"/>
                <w:szCs w:val="20"/>
                <w:color w:val="auto"/>
              </w:rPr>
            </w:pPr>
            <w:r>
              <w:rPr>
                <w:rFonts w:ascii="Times New Roman" w:cs="Times New Roman" w:eastAsia="Times New Roman" w:hAnsi="Times New Roman"/>
                <w:sz w:val="22"/>
                <w:szCs w:val="22"/>
                <w:color w:val="auto"/>
                <w:w w:val="97"/>
              </w:rPr>
              <w:t>Seller Disclosure Letter</w:t>
            </w:r>
          </w:p>
        </w:tc>
        <w:tc>
          <w:tcPr>
            <w:tcW w:w="2120" w:type="dxa"/>
            <w:vAlign w:val="bottom"/>
            <w:gridSpan w:val="9"/>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r>
      <w:tr>
        <w:trPr>
          <w:trHeight w:val="237"/>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Law</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Seller Fundamental Representations</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Lease Agreement</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Seller Material Adverse Effect</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700" w:type="dxa"/>
            <w:vAlign w:val="bottom"/>
            <w:gridSpan w:val="13"/>
          </w:tcPr>
          <w:p>
            <w:pPr>
              <w:spacing w:after="0" w:line="237" w:lineRule="exact"/>
              <w:rPr>
                <w:sz w:val="20"/>
                <w:szCs w:val="20"/>
                <w:color w:val="auto"/>
              </w:rPr>
            </w:pPr>
            <w:r>
              <w:rPr>
                <w:rFonts w:ascii="Times New Roman" w:cs="Times New Roman" w:eastAsia="Times New Roman" w:hAnsi="Times New Roman"/>
                <w:sz w:val="22"/>
                <w:szCs w:val="22"/>
                <w:color w:val="auto"/>
                <w:w w:val="97"/>
              </w:rPr>
              <w:t>Letter of Guarantee</w:t>
            </w:r>
          </w:p>
        </w:tc>
        <w:tc>
          <w:tcPr>
            <w:tcW w:w="2300" w:type="dxa"/>
            <w:vAlign w:val="bottom"/>
            <w:gridSpan w:val="17"/>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Seller Releasee</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64</w:t>
            </w: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700" w:type="dxa"/>
            <w:vAlign w:val="bottom"/>
            <w:gridSpan w:val="13"/>
          </w:tcPr>
          <w:p>
            <w:pPr>
              <w:spacing w:after="0" w:line="237" w:lineRule="exact"/>
              <w:rPr>
                <w:sz w:val="20"/>
                <w:szCs w:val="20"/>
                <w:color w:val="auto"/>
              </w:rPr>
            </w:pPr>
            <w:r>
              <w:rPr>
                <w:rFonts w:ascii="Times New Roman" w:cs="Times New Roman" w:eastAsia="Times New Roman" w:hAnsi="Times New Roman"/>
                <w:sz w:val="22"/>
                <w:szCs w:val="22"/>
                <w:color w:val="auto"/>
              </w:rPr>
              <w:t>Lien</w:t>
            </w:r>
          </w:p>
        </w:tc>
        <w:tc>
          <w:tcPr>
            <w:tcW w:w="2300" w:type="dxa"/>
            <w:vAlign w:val="bottom"/>
            <w:gridSpan w:val="17"/>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Seller Termination Fee</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57</w:t>
            </w: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Longstop Date</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54</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Seller’s Account</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600" w:type="dxa"/>
            <w:vAlign w:val="bottom"/>
            <w:tcBorders>
              <w:bottom w:val="single" w:sz="8" w:color="auto"/>
            </w:tcBorders>
            <w:gridSpan w:val="5"/>
          </w:tcPr>
          <w:p>
            <w:pPr>
              <w:spacing w:after="0" w:line="237" w:lineRule="exact"/>
              <w:rPr>
                <w:sz w:val="20"/>
                <w:szCs w:val="20"/>
                <w:color w:val="auto"/>
              </w:rPr>
            </w:pPr>
            <w:r>
              <w:rPr>
                <w:rFonts w:ascii="Times New Roman" w:cs="Times New Roman" w:eastAsia="Times New Roman" w:hAnsi="Times New Roman"/>
                <w:sz w:val="22"/>
                <w:szCs w:val="22"/>
                <w:color w:val="auto"/>
                <w:w w:val="96"/>
              </w:rPr>
              <w:t>Losses</w:t>
            </w:r>
          </w:p>
        </w:tc>
        <w:tc>
          <w:tcPr>
            <w:tcW w:w="680" w:type="dxa"/>
            <w:vAlign w:val="bottom"/>
            <w:gridSpan w:val="4"/>
          </w:tcPr>
          <w:p>
            <w:pPr>
              <w:spacing w:after="0"/>
              <w:rPr>
                <w:sz w:val="20"/>
                <w:szCs w:val="20"/>
                <w:color w:val="auto"/>
              </w:rPr>
            </w:pPr>
          </w:p>
        </w:tc>
        <w:tc>
          <w:tcPr>
            <w:tcW w:w="2720" w:type="dxa"/>
            <w:vAlign w:val="bottom"/>
            <w:gridSpan w:val="21"/>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2140" w:type="dxa"/>
            <w:vAlign w:val="bottom"/>
            <w:tcBorders>
              <w:bottom w:val="single" w:sz="8" w:color="auto"/>
            </w:tcBorders>
            <w:gridSpan w:val="24"/>
          </w:tcPr>
          <w:p>
            <w:pPr>
              <w:spacing w:after="0" w:line="237" w:lineRule="exact"/>
              <w:rPr>
                <w:sz w:val="20"/>
                <w:szCs w:val="20"/>
                <w:color w:val="auto"/>
              </w:rPr>
            </w:pPr>
            <w:r>
              <w:rPr>
                <w:rFonts w:ascii="Times New Roman" w:cs="Times New Roman" w:eastAsia="Times New Roman" w:hAnsi="Times New Roman"/>
                <w:sz w:val="22"/>
                <w:szCs w:val="22"/>
                <w:color w:val="auto"/>
                <w:w w:val="97"/>
              </w:rPr>
              <w:t>Shareholders Agreement</w:t>
            </w:r>
          </w:p>
        </w:tc>
        <w:tc>
          <w:tcPr>
            <w:tcW w:w="2040" w:type="dxa"/>
            <w:vAlign w:val="bottom"/>
            <w:gridSpan w:val="7"/>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r>
      <w:tr>
        <w:trPr>
          <w:trHeight w:val="237"/>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Major Suppliers</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SOFR</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2300" w:type="dxa"/>
            <w:vAlign w:val="bottom"/>
            <w:tcBorders>
              <w:bottom w:val="single" w:sz="8" w:color="auto"/>
            </w:tcBorders>
            <w:gridSpan w:val="26"/>
          </w:tcPr>
          <w:p>
            <w:pPr>
              <w:spacing w:after="0" w:line="237" w:lineRule="exact"/>
              <w:rPr>
                <w:sz w:val="20"/>
                <w:szCs w:val="20"/>
                <w:color w:val="auto"/>
              </w:rPr>
            </w:pPr>
            <w:r>
              <w:rPr>
                <w:rFonts w:ascii="Times New Roman" w:cs="Times New Roman" w:eastAsia="Times New Roman" w:hAnsi="Times New Roman"/>
                <w:sz w:val="22"/>
                <w:szCs w:val="22"/>
                <w:color w:val="auto"/>
                <w:w w:val="97"/>
              </w:rPr>
              <w:t>Major Supply Agreements</w:t>
            </w:r>
          </w:p>
        </w:tc>
        <w:tc>
          <w:tcPr>
            <w:tcW w:w="1700" w:type="dxa"/>
            <w:vAlign w:val="bottom"/>
            <w:gridSpan w:val="4"/>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680" w:type="dxa"/>
            <w:vAlign w:val="bottom"/>
            <w:tcBorders>
              <w:bottom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w w:val="95"/>
              </w:rPr>
              <w:t>Solvent</w:t>
            </w:r>
          </w:p>
        </w:tc>
        <w:tc>
          <w:tcPr>
            <w:tcW w:w="3500" w:type="dxa"/>
            <w:vAlign w:val="bottom"/>
            <w:gridSpan w:val="27"/>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37"/>
        </w:trPr>
        <w:tc>
          <w:tcPr>
            <w:tcW w:w="1280" w:type="dxa"/>
            <w:vAlign w:val="bottom"/>
            <w:gridSpan w:val="9"/>
          </w:tcPr>
          <w:p>
            <w:pPr>
              <w:spacing w:after="0" w:line="237" w:lineRule="exact"/>
              <w:rPr>
                <w:sz w:val="20"/>
                <w:szCs w:val="20"/>
                <w:color w:val="auto"/>
              </w:rPr>
            </w:pPr>
            <w:r>
              <w:rPr>
                <w:rFonts w:ascii="Times New Roman" w:cs="Times New Roman" w:eastAsia="Times New Roman" w:hAnsi="Times New Roman"/>
                <w:sz w:val="22"/>
                <w:szCs w:val="22"/>
                <w:color w:val="auto"/>
                <w:w w:val="94"/>
              </w:rPr>
              <w:t>Offshore Plans</w:t>
            </w:r>
          </w:p>
        </w:tc>
        <w:tc>
          <w:tcPr>
            <w:tcW w:w="2720" w:type="dxa"/>
            <w:vAlign w:val="bottom"/>
            <w:gridSpan w:val="21"/>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Statement Date</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21</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80" w:type="dxa"/>
            <w:vAlign w:val="bottom"/>
            <w:gridSpan w:val="9"/>
          </w:tcPr>
          <w:p>
            <w:pPr>
              <w:spacing w:after="0" w:line="237" w:lineRule="exact"/>
              <w:rPr>
                <w:sz w:val="20"/>
                <w:szCs w:val="20"/>
                <w:color w:val="auto"/>
              </w:rPr>
            </w:pPr>
            <w:r>
              <w:rPr>
                <w:rFonts w:ascii="Times New Roman" w:cs="Times New Roman" w:eastAsia="Times New Roman" w:hAnsi="Times New Roman"/>
                <w:sz w:val="22"/>
                <w:szCs w:val="22"/>
                <w:color w:val="auto"/>
              </w:rPr>
              <w:t>Order</w:t>
            </w:r>
          </w:p>
        </w:tc>
        <w:tc>
          <w:tcPr>
            <w:tcW w:w="2720" w:type="dxa"/>
            <w:vAlign w:val="bottom"/>
            <w:gridSpan w:val="21"/>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Straddle Period</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44</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Organizational Documents</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Subsidiary</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2320" w:type="dxa"/>
            <w:vAlign w:val="bottom"/>
            <w:gridSpan w:val="27"/>
          </w:tcPr>
          <w:p>
            <w:pPr>
              <w:spacing w:after="0" w:line="237" w:lineRule="exact"/>
              <w:rPr>
                <w:sz w:val="20"/>
                <w:szCs w:val="20"/>
                <w:color w:val="auto"/>
              </w:rPr>
            </w:pPr>
            <w:r>
              <w:rPr>
                <w:rFonts w:ascii="Times New Roman" w:cs="Times New Roman" w:eastAsia="Times New Roman" w:hAnsi="Times New Roman"/>
                <w:sz w:val="22"/>
                <w:szCs w:val="22"/>
                <w:color w:val="auto"/>
              </w:rPr>
              <w:t>Partial Transition</w:t>
            </w:r>
          </w:p>
        </w:tc>
        <w:tc>
          <w:tcPr>
            <w:tcW w:w="1680" w:type="dxa"/>
            <w:vAlign w:val="bottom"/>
            <w:gridSpan w:val="3"/>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Supply Agreement</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6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w w:val="96"/>
              </w:rPr>
              <w:t>Parties</w:t>
            </w:r>
          </w:p>
        </w:tc>
        <w:tc>
          <w:tcPr>
            <w:tcW w:w="900" w:type="dxa"/>
            <w:vAlign w:val="bottom"/>
            <w:gridSpan w:val="6"/>
          </w:tcPr>
          <w:p>
            <w:pPr>
              <w:spacing w:after="0"/>
              <w:rPr>
                <w:sz w:val="20"/>
                <w:szCs w:val="20"/>
                <w:color w:val="auto"/>
              </w:rPr>
            </w:pPr>
          </w:p>
        </w:tc>
        <w:tc>
          <w:tcPr>
            <w:tcW w:w="2500" w:type="dxa"/>
            <w:vAlign w:val="bottom"/>
            <w:gridSpan w:val="19"/>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1</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Target Working Capital Amount</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37"/>
        </w:trPr>
        <w:tc>
          <w:tcPr>
            <w:tcW w:w="600" w:type="dxa"/>
            <w:vAlign w:val="bottom"/>
            <w:tcBorders>
              <w:top w:val="single" w:sz="8" w:color="auto"/>
            </w:tcBorders>
            <w:gridSpan w:val="5"/>
          </w:tcPr>
          <w:p>
            <w:pPr>
              <w:spacing w:after="0" w:line="237" w:lineRule="exact"/>
              <w:rPr>
                <w:sz w:val="20"/>
                <w:szCs w:val="20"/>
                <w:color w:val="auto"/>
              </w:rPr>
            </w:pPr>
            <w:r>
              <w:rPr>
                <w:rFonts w:ascii="Times New Roman" w:cs="Times New Roman" w:eastAsia="Times New Roman" w:hAnsi="Times New Roman"/>
                <w:sz w:val="22"/>
                <w:szCs w:val="22"/>
                <w:color w:val="auto"/>
              </w:rPr>
              <w:t>Party</w:t>
            </w:r>
          </w:p>
        </w:tc>
        <w:tc>
          <w:tcPr>
            <w:tcW w:w="3400" w:type="dxa"/>
            <w:vAlign w:val="bottom"/>
            <w:gridSpan w:val="25"/>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1</w:t>
            </w:r>
          </w:p>
        </w:tc>
        <w:tc>
          <w:tcPr>
            <w:tcW w:w="2780" w:type="dxa"/>
            <w:vAlign w:val="bottom"/>
            <w:tcBorders>
              <w:top w:val="single" w:sz="8" w:color="auto"/>
            </w:tcBorders>
            <w:gridSpan w:val="28"/>
          </w:tcPr>
          <w:p>
            <w:pPr>
              <w:spacing w:after="0" w:line="237" w:lineRule="exact"/>
              <w:rPr>
                <w:sz w:val="20"/>
                <w:szCs w:val="20"/>
                <w:color w:val="auto"/>
              </w:rPr>
            </w:pPr>
            <w:r>
              <w:rPr>
                <w:rFonts w:ascii="Times New Roman" w:cs="Times New Roman" w:eastAsia="Times New Roman" w:hAnsi="Times New Roman"/>
                <w:sz w:val="22"/>
                <w:szCs w:val="22"/>
                <w:color w:val="auto"/>
              </w:rPr>
              <w:t>Tax Claim</w:t>
            </w:r>
          </w:p>
        </w:tc>
        <w:tc>
          <w:tcPr>
            <w:tcW w:w="1400" w:type="dxa"/>
            <w:vAlign w:val="bottom"/>
            <w:gridSpan w:val="3"/>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45</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Permits</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Tax Return</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80" w:type="dxa"/>
            <w:vAlign w:val="bottom"/>
            <w:tcBorders>
              <w:bottom w:val="single" w:sz="8" w:color="auto"/>
            </w:tcBorders>
            <w:gridSpan w:val="9"/>
          </w:tcPr>
          <w:p>
            <w:pPr>
              <w:spacing w:after="0" w:line="237" w:lineRule="exact"/>
              <w:rPr>
                <w:sz w:val="20"/>
                <w:szCs w:val="20"/>
                <w:color w:val="auto"/>
              </w:rPr>
            </w:pPr>
            <w:r>
              <w:rPr>
                <w:rFonts w:ascii="Times New Roman" w:cs="Times New Roman" w:eastAsia="Times New Roman" w:hAnsi="Times New Roman"/>
                <w:sz w:val="22"/>
                <w:szCs w:val="22"/>
                <w:color w:val="auto"/>
                <w:w w:val="94"/>
              </w:rPr>
              <w:t>Permitted Lien</w:t>
            </w:r>
          </w:p>
        </w:tc>
        <w:tc>
          <w:tcPr>
            <w:tcW w:w="2720" w:type="dxa"/>
            <w:vAlign w:val="bottom"/>
            <w:gridSpan w:val="21"/>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8</w:t>
            </w:r>
          </w:p>
        </w:tc>
        <w:tc>
          <w:tcPr>
            <w:tcW w:w="520" w:type="dxa"/>
            <w:vAlign w:val="bottom"/>
            <w:tcBorders>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w w:val="91"/>
              </w:rPr>
              <w:t>Taxes</w:t>
            </w:r>
          </w:p>
        </w:tc>
        <w:tc>
          <w:tcPr>
            <w:tcW w:w="3660" w:type="dxa"/>
            <w:vAlign w:val="bottom"/>
            <w:gridSpan w:val="29"/>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36"/>
        </w:trPr>
        <w:tc>
          <w:tcPr>
            <w:tcW w:w="6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w w:val="96"/>
              </w:rPr>
              <w:t>Person</w:t>
            </w:r>
          </w:p>
        </w:tc>
        <w:tc>
          <w:tcPr>
            <w:tcW w:w="3400" w:type="dxa"/>
            <w:vAlign w:val="bottom"/>
            <w:gridSpan w:val="25"/>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8</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Taxing Authority</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gridSpan w:val="8"/>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2180" w:type="dxa"/>
            <w:vAlign w:val="bottom"/>
            <w:tcBorders>
              <w:bottom w:val="single" w:sz="8" w:color="auto"/>
            </w:tcBorders>
            <w:gridSpan w:val="23"/>
          </w:tcPr>
          <w:p>
            <w:pPr>
              <w:spacing w:after="0" w:line="237" w:lineRule="exact"/>
              <w:rPr>
                <w:sz w:val="20"/>
                <w:szCs w:val="20"/>
                <w:color w:val="auto"/>
              </w:rPr>
            </w:pPr>
            <w:r>
              <w:rPr>
                <w:rFonts w:ascii="Times New Roman" w:cs="Times New Roman" w:eastAsia="Times New Roman" w:hAnsi="Times New Roman"/>
                <w:sz w:val="22"/>
                <w:szCs w:val="22"/>
                <w:color w:val="auto"/>
                <w:w w:val="98"/>
              </w:rPr>
              <w:t>Post-Closing Bonus Plan</w:t>
            </w:r>
          </w:p>
        </w:tc>
        <w:tc>
          <w:tcPr>
            <w:tcW w:w="1820" w:type="dxa"/>
            <w:vAlign w:val="bottom"/>
            <w:gridSpan w:val="7"/>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1440" w:type="dxa"/>
            <w:vAlign w:val="bottom"/>
            <w:tcBorders>
              <w:bottom w:val="single" w:sz="8" w:color="auto"/>
            </w:tcBorders>
            <w:gridSpan w:val="15"/>
          </w:tcPr>
          <w:p>
            <w:pPr>
              <w:spacing w:after="0" w:line="237" w:lineRule="exact"/>
              <w:rPr>
                <w:sz w:val="20"/>
                <w:szCs w:val="20"/>
                <w:color w:val="auto"/>
              </w:rPr>
            </w:pPr>
            <w:r>
              <w:rPr>
                <w:rFonts w:ascii="Times New Roman" w:cs="Times New Roman" w:eastAsia="Times New Roman" w:hAnsi="Times New Roman"/>
                <w:sz w:val="22"/>
                <w:szCs w:val="22"/>
                <w:color w:val="auto"/>
                <w:w w:val="95"/>
              </w:rPr>
              <w:t>Termination Fee</w:t>
            </w:r>
          </w:p>
        </w:tc>
        <w:tc>
          <w:tcPr>
            <w:tcW w:w="2740" w:type="dxa"/>
            <w:vAlign w:val="bottom"/>
            <w:gridSpan w:val="16"/>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57</w:t>
            </w:r>
          </w:p>
        </w:tc>
      </w:tr>
      <w:tr>
        <w:trPr>
          <w:trHeight w:val="236"/>
        </w:trPr>
        <w:tc>
          <w:tcPr>
            <w:tcW w:w="42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w w:val="91"/>
              </w:rPr>
              <w:t>PRC</w:t>
            </w:r>
          </w:p>
        </w:tc>
        <w:tc>
          <w:tcPr>
            <w:tcW w:w="3580" w:type="dxa"/>
            <w:vAlign w:val="bottom"/>
            <w:gridSpan w:val="27"/>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8</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Third-Party Claim</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62</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gridSpan w:val="8"/>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PRC Anti-Monopoly Law</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8</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Transaction Deductions</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37"/>
        </w:trPr>
        <w:tc>
          <w:tcPr>
            <w:tcW w:w="2160" w:type="dxa"/>
            <w:vAlign w:val="bottom"/>
            <w:tcBorders>
              <w:top w:val="single" w:sz="8" w:color="auto"/>
              <w:bottom w:val="single" w:sz="8" w:color="auto"/>
            </w:tcBorders>
            <w:gridSpan w:val="22"/>
          </w:tcPr>
          <w:p>
            <w:pPr>
              <w:spacing w:after="0" w:line="237" w:lineRule="exact"/>
              <w:rPr>
                <w:sz w:val="20"/>
                <w:szCs w:val="20"/>
                <w:color w:val="auto"/>
              </w:rPr>
            </w:pPr>
            <w:r>
              <w:rPr>
                <w:rFonts w:ascii="Times New Roman" w:cs="Times New Roman" w:eastAsia="Times New Roman" w:hAnsi="Times New Roman"/>
                <w:sz w:val="22"/>
                <w:szCs w:val="22"/>
                <w:color w:val="auto"/>
                <w:w w:val="97"/>
              </w:rPr>
              <w:t>PRC Antitrust Clearance</w:t>
            </w:r>
          </w:p>
        </w:tc>
        <w:tc>
          <w:tcPr>
            <w:tcW w:w="100" w:type="dxa"/>
            <w:vAlign w:val="bottom"/>
            <w:tcBorders>
              <w:top w:val="single" w:sz="8" w:color="auto"/>
            </w:tcBorders>
            <w:gridSpan w:val="3"/>
          </w:tcPr>
          <w:p>
            <w:pPr>
              <w:spacing w:after="0"/>
              <w:rPr>
                <w:sz w:val="20"/>
                <w:szCs w:val="20"/>
                <w:color w:val="auto"/>
              </w:rPr>
            </w:pPr>
          </w:p>
        </w:tc>
        <w:tc>
          <w:tcPr>
            <w:tcW w:w="1740" w:type="dxa"/>
            <w:vAlign w:val="bottom"/>
            <w:gridSpan w:val="5"/>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20" w:type="dxa"/>
            <w:vAlign w:val="bottom"/>
            <w:tcBorders>
              <w:top w:val="single" w:sz="8" w:color="auto"/>
              <w:bottom w:val="single" w:sz="8" w:color="auto"/>
            </w:tcBorders>
            <w:gridSpan w:val="13"/>
          </w:tcPr>
          <w:p>
            <w:pPr>
              <w:spacing w:after="0" w:line="237" w:lineRule="exact"/>
              <w:rPr>
                <w:sz w:val="20"/>
                <w:szCs w:val="20"/>
                <w:color w:val="auto"/>
              </w:rPr>
            </w:pPr>
            <w:r>
              <w:rPr>
                <w:rFonts w:ascii="Times New Roman" w:cs="Times New Roman" w:eastAsia="Times New Roman" w:hAnsi="Times New Roman"/>
                <w:sz w:val="22"/>
                <w:szCs w:val="22"/>
                <w:color w:val="auto"/>
                <w:w w:val="96"/>
              </w:rPr>
              <w:t>Transfer Taxes</w:t>
            </w:r>
          </w:p>
        </w:tc>
        <w:tc>
          <w:tcPr>
            <w:tcW w:w="720" w:type="dxa"/>
            <w:vAlign w:val="bottom"/>
            <w:tcBorders>
              <w:top w:val="single" w:sz="8" w:color="auto"/>
            </w:tcBorders>
            <w:gridSpan w:val="8"/>
          </w:tcPr>
          <w:p>
            <w:pPr>
              <w:spacing w:after="0"/>
              <w:rPr>
                <w:sz w:val="20"/>
                <w:szCs w:val="20"/>
                <w:color w:val="auto"/>
              </w:rPr>
            </w:pPr>
          </w:p>
        </w:tc>
        <w:tc>
          <w:tcPr>
            <w:tcW w:w="2140" w:type="dxa"/>
            <w:vAlign w:val="bottom"/>
            <w:gridSpan w:val="10"/>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47</w:t>
            </w:r>
          </w:p>
        </w:tc>
      </w:tr>
      <w:tr>
        <w:trPr>
          <w:trHeight w:val="236"/>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PRC Withholding Tax</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8</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Transition of Controller Suppliers</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49</w:t>
            </w:r>
          </w:p>
        </w:tc>
      </w:tr>
      <w:tr>
        <w:trPr>
          <w:trHeight w:val="20"/>
        </w:trPr>
        <w:tc>
          <w:tcPr>
            <w:tcW w:w="860" w:type="dxa"/>
            <w:vAlign w:val="bottom"/>
            <w:gridSpan w:val="7"/>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gridSpan w:val="8"/>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520" w:type="dxa"/>
            <w:vAlign w:val="bottom"/>
            <w:gridSpan w:val="15"/>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2040" w:type="dxa"/>
            <w:vAlign w:val="bottom"/>
            <w:tcBorders>
              <w:bottom w:val="single" w:sz="8" w:color="auto"/>
            </w:tcBorders>
            <w:gridSpan w:val="19"/>
          </w:tcPr>
          <w:p>
            <w:pPr>
              <w:spacing w:after="0" w:line="237" w:lineRule="exact"/>
              <w:rPr>
                <w:sz w:val="20"/>
                <w:szCs w:val="20"/>
                <w:color w:val="auto"/>
              </w:rPr>
            </w:pPr>
            <w:r>
              <w:rPr>
                <w:rFonts w:ascii="Times New Roman" w:cs="Times New Roman" w:eastAsia="Times New Roman" w:hAnsi="Times New Roman"/>
                <w:sz w:val="22"/>
                <w:szCs w:val="22"/>
                <w:color w:val="auto"/>
                <w:w w:val="97"/>
              </w:rPr>
              <w:t>Pre-Closing Tax Period</w:t>
            </w:r>
          </w:p>
        </w:tc>
        <w:tc>
          <w:tcPr>
            <w:tcW w:w="1960" w:type="dxa"/>
            <w:vAlign w:val="bottom"/>
            <w:gridSpan w:val="11"/>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8</w:t>
            </w:r>
          </w:p>
        </w:tc>
        <w:tc>
          <w:tcPr>
            <w:tcW w:w="2680" w:type="dxa"/>
            <w:vAlign w:val="bottom"/>
            <w:tcBorders>
              <w:bottom w:val="single" w:sz="8" w:color="auto"/>
            </w:tcBorders>
            <w:gridSpan w:val="27"/>
          </w:tcPr>
          <w:p>
            <w:pPr>
              <w:spacing w:after="0" w:line="237" w:lineRule="exact"/>
              <w:rPr>
                <w:sz w:val="20"/>
                <w:szCs w:val="20"/>
                <w:color w:val="auto"/>
              </w:rPr>
            </w:pPr>
            <w:r>
              <w:rPr>
                <w:rFonts w:ascii="Times New Roman" w:cs="Times New Roman" w:eastAsia="Times New Roman" w:hAnsi="Times New Roman"/>
                <w:sz w:val="22"/>
                <w:szCs w:val="22"/>
                <w:color w:val="auto"/>
                <w:w w:val="97"/>
              </w:rPr>
              <w:t>Transition Services Agreement</w:t>
            </w:r>
          </w:p>
        </w:tc>
        <w:tc>
          <w:tcPr>
            <w:tcW w:w="1500" w:type="dxa"/>
            <w:vAlign w:val="bottom"/>
            <w:gridSpan w:val="4"/>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r>
      <w:tr>
        <w:trPr>
          <w:trHeight w:val="236"/>
        </w:trPr>
        <w:tc>
          <w:tcPr>
            <w:tcW w:w="400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auto"/>
              </w:rPr>
              <w:t>Purchase Price</w:t>
            </w: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U.S.</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r>
      <w:tr>
        <w:trPr>
          <w:trHeight w:val="20"/>
        </w:trPr>
        <w:tc>
          <w:tcPr>
            <w:tcW w:w="860" w:type="dxa"/>
            <w:vAlign w:val="bottom"/>
            <w:gridSpan w:val="7"/>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0" w:type="dxa"/>
            <w:vAlign w:val="bottom"/>
            <w:gridSpan w:val="18"/>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20" w:type="dxa"/>
            <w:vAlign w:val="bottom"/>
            <w:gridSpan w:val="1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600" w:type="dxa"/>
            <w:vAlign w:val="bottom"/>
            <w:gridSpan w:val="12"/>
          </w:tcPr>
          <w:p>
            <w:pPr>
              <w:spacing w:after="0" w:line="237" w:lineRule="exact"/>
              <w:rPr>
                <w:sz w:val="20"/>
                <w:szCs w:val="20"/>
                <w:color w:val="auto"/>
              </w:rPr>
            </w:pPr>
            <w:r>
              <w:rPr>
                <w:rFonts w:ascii="Times New Roman" w:cs="Times New Roman" w:eastAsia="Times New Roman" w:hAnsi="Times New Roman"/>
                <w:sz w:val="22"/>
                <w:szCs w:val="22"/>
                <w:color w:val="auto"/>
                <w:w w:val="97"/>
              </w:rPr>
              <w:t>Purchased Interest</w:t>
            </w:r>
          </w:p>
        </w:tc>
        <w:tc>
          <w:tcPr>
            <w:tcW w:w="2400" w:type="dxa"/>
            <w:vAlign w:val="bottom"/>
            <w:gridSpan w:val="18"/>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41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auto"/>
              </w:rPr>
              <w:t>U.S. Dollar</w:t>
            </w: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r>
      <w:tr>
        <w:trPr>
          <w:trHeight w:val="20"/>
        </w:trPr>
        <w:tc>
          <w:tcPr>
            <w:tcW w:w="860" w:type="dxa"/>
            <w:vAlign w:val="bottom"/>
            <w:gridSpan w:val="7"/>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2400" w:type="dxa"/>
            <w:vAlign w:val="bottom"/>
            <w:gridSpan w:val="18"/>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gridSpan w:val="9"/>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20" w:type="dxa"/>
            <w:vAlign w:val="bottom"/>
            <w:gridSpan w:val="1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860" w:type="dxa"/>
            <w:vAlign w:val="bottom"/>
            <w:tcBorders>
              <w:bottom w:val="single" w:sz="8" w:color="auto"/>
            </w:tcBorders>
            <w:gridSpan w:val="7"/>
          </w:tcPr>
          <w:p>
            <w:pPr>
              <w:spacing w:after="0" w:line="237" w:lineRule="exact"/>
              <w:rPr>
                <w:sz w:val="20"/>
                <w:szCs w:val="20"/>
                <w:color w:val="auto"/>
              </w:rPr>
            </w:pPr>
            <w:r>
              <w:rPr>
                <w:rFonts w:ascii="Times New Roman" w:cs="Times New Roman" w:eastAsia="Times New Roman" w:hAnsi="Times New Roman"/>
                <w:sz w:val="22"/>
                <w:szCs w:val="22"/>
                <w:color w:val="auto"/>
                <w:w w:val="96"/>
              </w:rPr>
              <w:t>Purchaser</w:t>
            </w:r>
          </w:p>
        </w:tc>
        <w:tc>
          <w:tcPr>
            <w:tcW w:w="740" w:type="dxa"/>
            <w:vAlign w:val="bottom"/>
            <w:gridSpan w:val="5"/>
          </w:tcPr>
          <w:p>
            <w:pPr>
              <w:spacing w:after="0"/>
              <w:rPr>
                <w:sz w:val="20"/>
                <w:szCs w:val="20"/>
                <w:color w:val="auto"/>
              </w:rPr>
            </w:pPr>
          </w:p>
        </w:tc>
        <w:tc>
          <w:tcPr>
            <w:tcW w:w="2400" w:type="dxa"/>
            <w:vAlign w:val="bottom"/>
            <w:gridSpan w:val="18"/>
          </w:tcPr>
          <w:p>
            <w:pPr>
              <w:spacing w:after="0"/>
              <w:rPr>
                <w:sz w:val="20"/>
                <w:szCs w:val="20"/>
                <w:color w:val="auto"/>
              </w:rPr>
            </w:pPr>
          </w:p>
        </w:tc>
        <w:tc>
          <w:tcPr>
            <w:tcW w:w="17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1</w:t>
            </w:r>
          </w:p>
        </w:tc>
        <w:tc>
          <w:tcPr>
            <w:tcW w:w="1160" w:type="dxa"/>
            <w:vAlign w:val="bottom"/>
            <w:tcBorders>
              <w:bottom w:val="single" w:sz="8" w:color="auto"/>
            </w:tcBorders>
            <w:gridSpan w:val="12"/>
          </w:tcPr>
          <w:p>
            <w:pPr>
              <w:spacing w:after="0" w:line="237" w:lineRule="exact"/>
              <w:rPr>
                <w:sz w:val="20"/>
                <w:szCs w:val="20"/>
                <w:color w:val="auto"/>
              </w:rPr>
            </w:pPr>
            <w:r>
              <w:rPr>
                <w:rFonts w:ascii="Times New Roman" w:cs="Times New Roman" w:eastAsia="Times New Roman" w:hAnsi="Times New Roman"/>
                <w:sz w:val="22"/>
                <w:szCs w:val="22"/>
                <w:color w:val="auto"/>
                <w:w w:val="96"/>
              </w:rPr>
              <w:t>United States</w:t>
            </w:r>
          </w:p>
        </w:tc>
        <w:tc>
          <w:tcPr>
            <w:tcW w:w="3020" w:type="dxa"/>
            <w:vAlign w:val="bottom"/>
            <w:gridSpan w:val="19"/>
          </w:tcPr>
          <w:p>
            <w:pPr>
              <w:spacing w:after="0"/>
              <w:rPr>
                <w:sz w:val="20"/>
                <w:szCs w:val="20"/>
                <w:color w:val="auto"/>
              </w:rPr>
            </w:pPr>
          </w:p>
        </w:tc>
        <w:tc>
          <w:tcPr>
            <w:tcW w:w="12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r>
    </w:tbl>
    <w:p>
      <w:pPr>
        <w:spacing w:after="0" w:line="200" w:lineRule="exact"/>
        <w:rPr>
          <w:sz w:val="20"/>
          <w:szCs w:val="20"/>
          <w:color w:val="auto"/>
        </w:rPr>
      </w:pPr>
    </w:p>
    <w:p>
      <w:pPr>
        <w:sectPr>
          <w:pgSz w:w="11900" w:h="16838" w:orient="portrait"/>
          <w:cols w:equalWidth="0" w:num="1">
            <w:col w:w="11200"/>
          </w:cols>
          <w:pgMar w:left="340" w:top="14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1200"/>
          </w:cols>
          <w:pgMar w:left="340" w:top="1439" w:right="35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53"/>
        </w:trPr>
        <w:tc>
          <w:tcPr>
            <w:tcW w:w="41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Purchaser Guarantor</w:t>
            </w:r>
          </w:p>
        </w:tc>
        <w:tc>
          <w:tcPr>
            <w:tcW w:w="16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w:t>
            </w:r>
          </w:p>
        </w:tc>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Unvested WDC RSU</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0"/>
        </w:trPr>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6"/>
        </w:trPr>
        <w:tc>
          <w:tcPr>
            <w:tcW w:w="3000" w:type="dxa"/>
            <w:vAlign w:val="bottom"/>
            <w:gridSpan w:val="7"/>
          </w:tcPr>
          <w:p>
            <w:pPr>
              <w:spacing w:after="0" w:line="237" w:lineRule="exact"/>
              <w:rPr>
                <w:sz w:val="20"/>
                <w:szCs w:val="20"/>
                <w:color w:val="auto"/>
              </w:rPr>
            </w:pPr>
            <w:r>
              <w:rPr>
                <w:rFonts w:ascii="Times New Roman" w:cs="Times New Roman" w:eastAsia="Times New Roman" w:hAnsi="Times New Roman"/>
                <w:sz w:val="22"/>
                <w:szCs w:val="22"/>
                <w:color w:val="auto"/>
                <w:w w:val="97"/>
              </w:rPr>
              <w:t>Purchaser Material Adverse Effect</w:t>
            </w:r>
          </w:p>
        </w:tc>
        <w:tc>
          <w:tcPr>
            <w:tcW w:w="1100" w:type="dxa"/>
            <w:vAlign w:val="bottom"/>
          </w:tcPr>
          <w:p>
            <w:pPr>
              <w:spacing w:after="0"/>
              <w:rPr>
                <w:sz w:val="20"/>
                <w:szCs w:val="20"/>
                <w:color w:val="auto"/>
              </w:rPr>
            </w:pPr>
          </w:p>
        </w:tc>
        <w:tc>
          <w:tcPr>
            <w:tcW w:w="16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8</w:t>
            </w:r>
          </w:p>
        </w:tc>
        <w:tc>
          <w:tcPr>
            <w:tcW w:w="354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w:t>
            </w:r>
          </w:p>
        </w:tc>
        <w:tc>
          <w:tcPr>
            <w:tcW w:w="19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r>
      <w:tr>
        <w:trPr>
          <w:trHeight w:val="20"/>
        </w:trPr>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720" w:type="dxa"/>
            <w:vAlign w:val="bottom"/>
            <w:tcBorders>
              <w:bottom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w w:val="99"/>
              </w:rPr>
              <w:t>Purchaser Releasor</w:t>
            </w:r>
          </w:p>
        </w:tc>
        <w:tc>
          <w:tcPr>
            <w:tcW w:w="1220" w:type="dxa"/>
            <w:vAlign w:val="bottom"/>
            <w:gridSpan w:val="3"/>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64</w:t>
            </w:r>
          </w:p>
        </w:tc>
        <w:tc>
          <w:tcPr>
            <w:tcW w:w="460" w:type="dxa"/>
            <w:vAlign w:val="bottom"/>
            <w:tcBorders>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w w:val="94"/>
              </w:rPr>
              <w:t>VDR</w:t>
            </w:r>
          </w:p>
        </w:tc>
        <w:tc>
          <w:tcPr>
            <w:tcW w:w="3080" w:type="dxa"/>
            <w:vAlign w:val="bottom"/>
            <w:gridSpan w:val="4"/>
          </w:tcPr>
          <w:p>
            <w:pPr>
              <w:spacing w:after="0"/>
              <w:rPr>
                <w:sz w:val="20"/>
                <w:szCs w:val="20"/>
                <w:color w:val="auto"/>
              </w:rPr>
            </w:pPr>
          </w:p>
        </w:tc>
        <w:tc>
          <w:tcPr>
            <w:tcW w:w="19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r>
      <w:tr>
        <w:trPr>
          <w:trHeight w:val="237"/>
        </w:trPr>
        <w:tc>
          <w:tcPr>
            <w:tcW w:w="60" w:type="dxa"/>
            <w:vAlign w:val="bottom"/>
          </w:tcPr>
          <w:p>
            <w:pPr>
              <w:spacing w:after="0"/>
              <w:rPr>
                <w:sz w:val="20"/>
                <w:szCs w:val="20"/>
                <w:color w:val="auto"/>
              </w:rPr>
            </w:pPr>
          </w:p>
        </w:tc>
        <w:tc>
          <w:tcPr>
            <w:tcW w:w="234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w w:val="97"/>
              </w:rPr>
              <w:t>Purchaser Termination Fee</w:t>
            </w:r>
          </w:p>
        </w:tc>
        <w:tc>
          <w:tcPr>
            <w:tcW w:w="1700" w:type="dxa"/>
            <w:vAlign w:val="bottom"/>
            <w:gridSpan w:val="2"/>
          </w:tcPr>
          <w:p>
            <w:pPr>
              <w:spacing w:after="0"/>
              <w:rPr>
                <w:sz w:val="20"/>
                <w:szCs w:val="20"/>
                <w:color w:val="auto"/>
              </w:rPr>
            </w:pPr>
          </w:p>
        </w:tc>
        <w:tc>
          <w:tcPr>
            <w:tcW w:w="16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57</w:t>
            </w:r>
          </w:p>
        </w:tc>
        <w:tc>
          <w:tcPr>
            <w:tcW w:w="354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auto"/>
              </w:rPr>
              <w:t>Vested WDC RSUs</w:t>
            </w:r>
          </w:p>
        </w:tc>
        <w:tc>
          <w:tcPr>
            <w:tcW w:w="19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r>
      <w:tr>
        <w:trPr>
          <w:trHeight w:val="237"/>
        </w:trPr>
        <w:tc>
          <w:tcPr>
            <w:tcW w:w="60" w:type="dxa"/>
            <w:vAlign w:val="bottom"/>
          </w:tcPr>
          <w:p>
            <w:pPr>
              <w:spacing w:after="0"/>
              <w:rPr>
                <w:sz w:val="20"/>
                <w:szCs w:val="20"/>
                <w:color w:val="auto"/>
              </w:rPr>
            </w:pPr>
          </w:p>
        </w:tc>
        <w:tc>
          <w:tcPr>
            <w:tcW w:w="2340" w:type="dxa"/>
            <w:vAlign w:val="bottom"/>
            <w:tcBorders>
              <w:top w:val="single" w:sz="8" w:color="auto"/>
            </w:tcBorders>
            <w:gridSpan w:val="5"/>
          </w:tcPr>
          <w:p>
            <w:pPr>
              <w:spacing w:after="0" w:line="237" w:lineRule="exact"/>
              <w:rPr>
                <w:sz w:val="20"/>
                <w:szCs w:val="20"/>
                <w:color w:val="auto"/>
              </w:rPr>
            </w:pPr>
            <w:r>
              <w:rPr>
                <w:rFonts w:ascii="Times New Roman" w:cs="Times New Roman" w:eastAsia="Times New Roman" w:hAnsi="Times New Roman"/>
                <w:sz w:val="22"/>
                <w:szCs w:val="22"/>
                <w:color w:val="auto"/>
              </w:rPr>
              <w:t>Registration ETA</w:t>
            </w:r>
          </w:p>
        </w:tc>
        <w:tc>
          <w:tcPr>
            <w:tcW w:w="1700" w:type="dxa"/>
            <w:vAlign w:val="bottom"/>
            <w:gridSpan w:val="2"/>
          </w:tcPr>
          <w:p>
            <w:pPr>
              <w:spacing w:after="0"/>
              <w:rPr>
                <w:sz w:val="20"/>
                <w:szCs w:val="20"/>
                <w:color w:val="auto"/>
              </w:rPr>
            </w:pPr>
          </w:p>
        </w:tc>
        <w:tc>
          <w:tcPr>
            <w:tcW w:w="16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70</w:t>
            </w:r>
          </w:p>
        </w:tc>
        <w:tc>
          <w:tcPr>
            <w:tcW w:w="1680" w:type="dxa"/>
            <w:vAlign w:val="bottom"/>
            <w:tcBorders>
              <w:top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rPr>
              <w:t>WDC RSUs</w:t>
            </w:r>
          </w:p>
        </w:tc>
        <w:tc>
          <w:tcPr>
            <w:tcW w:w="1860" w:type="dxa"/>
            <w:vAlign w:val="bottom"/>
            <w:gridSpan w:val="2"/>
          </w:tcPr>
          <w:p>
            <w:pPr>
              <w:spacing w:after="0"/>
              <w:rPr>
                <w:sz w:val="20"/>
                <w:szCs w:val="20"/>
                <w:color w:val="auto"/>
              </w:rPr>
            </w:pPr>
          </w:p>
        </w:tc>
        <w:tc>
          <w:tcPr>
            <w:tcW w:w="19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r>
      <w:tr>
        <w:trPr>
          <w:trHeight w:val="20"/>
        </w:trPr>
        <w:tc>
          <w:tcPr>
            <w:tcW w:w="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2320" w:type="dxa"/>
            <w:vAlign w:val="bottom"/>
            <w:tcBorders>
              <w:bottom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w w:val="96"/>
              </w:rPr>
              <w:t>Replacement Cash Awards</w:t>
            </w:r>
          </w:p>
        </w:tc>
        <w:tc>
          <w:tcPr>
            <w:tcW w:w="1720" w:type="dxa"/>
            <w:vAlign w:val="bottom"/>
            <w:gridSpan w:val="3"/>
          </w:tcPr>
          <w:p>
            <w:pPr>
              <w:spacing w:after="0"/>
              <w:rPr>
                <w:sz w:val="20"/>
                <w:szCs w:val="20"/>
                <w:color w:val="auto"/>
              </w:rPr>
            </w:pPr>
          </w:p>
        </w:tc>
        <w:tc>
          <w:tcPr>
            <w:tcW w:w="16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128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6"/>
              </w:rPr>
              <w:t>Representative</w:t>
            </w:r>
          </w:p>
        </w:tc>
        <w:tc>
          <w:tcPr>
            <w:tcW w:w="2760" w:type="dxa"/>
            <w:vAlign w:val="bottom"/>
            <w:gridSpan w:val="6"/>
          </w:tcPr>
          <w:p>
            <w:pPr>
              <w:spacing w:after="0"/>
              <w:rPr>
                <w:sz w:val="20"/>
                <w:szCs w:val="20"/>
                <w:color w:val="auto"/>
              </w:rPr>
            </w:pPr>
          </w:p>
        </w:tc>
        <w:tc>
          <w:tcPr>
            <w:tcW w:w="1660" w:type="dxa"/>
            <w:vAlign w:val="bottom"/>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9</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340" w:top="14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1200"/>
          </w:cols>
          <w:pgMar w:left="340" w:top="1426" w:right="35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24" w:lineRule="exact"/>
        <w:rPr>
          <w:sz w:val="20"/>
          <w:szCs w:val="20"/>
          <w:color w:val="auto"/>
        </w:rPr>
      </w:pPr>
    </w:p>
    <w:p>
      <w:pPr>
        <w:jc w:val="both"/>
        <w:ind w:firstLine="648"/>
        <w:spacing w:after="0" w:line="267" w:lineRule="exact"/>
        <w:rPr>
          <w:sz w:val="20"/>
          <w:szCs w:val="20"/>
          <w:color w:val="auto"/>
        </w:rPr>
      </w:pPr>
      <w:r>
        <w:rPr>
          <w:rFonts w:ascii="Times New Roman" w:cs="Times New Roman" w:eastAsia="Times New Roman" w:hAnsi="Times New Roman"/>
          <w:sz w:val="22"/>
          <w:szCs w:val="22"/>
          <w:color w:val="auto"/>
        </w:rPr>
        <w:t>THIS EQUITY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March 4, 2024, is entered into by and between SanDisk China Limited, a company organized under the Laws of the Republic of Ireland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and JCET Management Co., Ltd. ( </w:t>
      </w:r>
      <w:r>
        <w:rPr>
          <w:rFonts w:ascii="SimSun" w:cs="SimSun" w:eastAsia="SimSun" w:hAnsi="SimSun"/>
          <w:sz w:val="22"/>
          <w:szCs w:val="22"/>
          <w:color w:val="auto"/>
        </w:rPr>
        <w:t>长电科技管理有限公司</w:t>
      </w:r>
      <w:r>
        <w:rPr>
          <w:rFonts w:ascii="Times New Roman" w:cs="Times New Roman" w:eastAsia="Times New Roman" w:hAnsi="Times New Roman"/>
          <w:sz w:val="22"/>
          <w:szCs w:val="22"/>
          <w:color w:val="auto"/>
        </w:rPr>
        <w:t>), a limited liability company established under the Laws of the PRC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Seller and Purchaser may each be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69" w:lineRule="exact"/>
        <w:rPr>
          <w:sz w:val="20"/>
          <w:szCs w:val="20"/>
          <w:color w:val="auto"/>
        </w:rPr>
      </w:pPr>
      <w:r>
        <w:rPr>
          <w:rFonts w:ascii="Times New Roman" w:cs="Times New Roman" w:eastAsia="Times New Roman" w:hAnsi="Times New Roman"/>
          <w:sz w:val="22"/>
          <w:szCs w:val="22"/>
          <w:color w:val="auto"/>
        </w:rPr>
        <w:t>WHEREAS, SanDisk Semiconductor (Shanghai) Co. Ltd. (</w:t>
      </w:r>
      <w:r>
        <w:rPr>
          <w:rFonts w:ascii="SimSun" w:cs="SimSun" w:eastAsia="SimSun" w:hAnsi="SimSun"/>
          <w:sz w:val="22"/>
          <w:szCs w:val="22"/>
          <w:color w:val="auto"/>
        </w:rPr>
        <w:t>晟碟半导体（上海）有限公司</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a limited liability company established under the Laws of the PRC;</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Seller owns 100% of all rights and interests in the registered capital of the Company;</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upon the terms and subject to the conditions set forth herein, Seller desires to sell and assign to Purchaser, and Purchaser desires to purchase and assume from Seller, 80% equity interest in the Company; and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contained in this Agreement and for good and valuable consideration, the receipt and sufficiency of which the parties hereby acknowledge, and intending to be legally bound hereby, the parties hereto agree as follows: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9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When used in this Agreement, the following terms shall have the respective meanings set forth below:</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means the accounting principles generally accepted in the PRC consistently applied in accordance with the Company’s past practice.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charge, claim, action, complaint, petition, investigation, appeal, suit, arbitration, litigation, grievance, inquiry or other proceeding, whether administrative, civil, regulatory or criminal, whether at law or in equity, or otherwise under any applicable Law, and whether or not before any mediator, arbitrator or Governmental Authority.</w:t>
      </w:r>
    </w:p>
    <w:p>
      <w:pPr>
        <w:spacing w:after="0" w:line="16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Net Debt Amount</w:t>
      </w:r>
      <w:r>
        <w:rPr>
          <w:rFonts w:ascii="Times New Roman" w:cs="Times New Roman" w:eastAsia="Times New Roman" w:hAnsi="Times New Roman"/>
          <w:sz w:val="22"/>
          <w:szCs w:val="22"/>
          <w:color w:val="auto"/>
        </w:rPr>
        <w:t xml:space="preserve">” means the amount equal to (a) Closing Debt,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Closing Cash. For the avoidance of doubt, the Actual Net Debt Amount may be a negative number.</w:t>
      </w:r>
    </w:p>
    <w:p>
      <w:pPr>
        <w:spacing w:after="0" w:line="14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Working Capital Amount</w:t>
      </w:r>
      <w:r>
        <w:rPr>
          <w:rFonts w:ascii="Times New Roman" w:cs="Times New Roman" w:eastAsia="Times New Roman" w:hAnsi="Times New Roman"/>
          <w:sz w:val="22"/>
          <w:szCs w:val="22"/>
          <w:color w:val="auto"/>
        </w:rPr>
        <w:t xml:space="preserve">” means as of 12:01 a.m. Beijing time on the Closing Date, (a) the current assets of the Company as of such time (excluding Closing Cash),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93" w:name="page94"/>
    <w:bookmarkEnd w:id="9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current liabilities of the Company as of such time (excluding Closing Debt), in each case, calculated in accordance with the Accounting Principles on a basis consistent with the illustrative sample calculation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For purposes of the calculation of Actual Working Capital Amount, (i) current assets shall include all current Tax assets allocable to the Taxable period that is deemed to end on the Closing Date pursuant to, and in accordance with,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 xml:space="preserve"> and shall expressly exclude all deferred Tax assets; and (ii) current liabilities shall expressly exclude: (w) Indebtedness; (x) Company Transaction Expenses; (y) all deferred Tax liabilities; and (z) all current Tax liabilities not allocable to the Taxable period that is deemed to end on the Closing Date (or any earlier Taxable period) pursuant to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Working Capital Adjustment Amount</w:t>
      </w:r>
      <w:r>
        <w:rPr>
          <w:rFonts w:ascii="Times New Roman" w:cs="Times New Roman" w:eastAsia="Times New Roman" w:hAnsi="Times New Roman"/>
          <w:sz w:val="22"/>
          <w:szCs w:val="22"/>
          <w:color w:val="auto"/>
        </w:rPr>
        <w:t xml:space="preserve">” means the amount equal to (a) the Actual Working Capital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Target Working Capital Amount. For the avoidance of doubt, the Actual Working Capital Adjustment Amount may be a negative number.</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 Proposal</w:t>
      </w:r>
      <w:r>
        <w:rPr>
          <w:rFonts w:ascii="Times New Roman" w:cs="Times New Roman" w:eastAsia="Times New Roman" w:hAnsi="Times New Roman"/>
          <w:sz w:val="21"/>
          <w:szCs w:val="21"/>
          <w:color w:val="auto"/>
        </w:rPr>
        <w:t>” means any agreement, offer, proposal or bona fide indication of interest (other than (i) this Agreement or any other offer, proposal or indication of interest by Purchaser or any of its Affiliates, and (ii) any offer, proposal or indication of interest with respect to or as a result of a Flash Spin-off), or any public announcement of intention to enter into any such agreement or of (or intention to make) any such offer, proposal or bona fide indication of interest, relating to, or involving:</w:t>
      </w:r>
    </w:p>
    <w:p>
      <w:pPr>
        <w:spacing w:after="0" w:line="2" w:lineRule="exact"/>
        <w:rPr>
          <w:sz w:val="20"/>
          <w:szCs w:val="20"/>
          <w:color w:val="auto"/>
        </w:rPr>
      </w:pPr>
    </w:p>
    <w:p>
      <w:pPr>
        <w:jc w:val="both"/>
        <w:ind w:firstLine="8"/>
        <w:spacing w:after="0" w:line="261" w:lineRule="auto"/>
        <w:tabs>
          <w:tab w:leader="none" w:pos="3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 or purchase of the Company or any merger, amalgamation, arrangement, consolidation, business combination or similar transaction involving the Company; (b) any sale, lease, mortgage, pledge, exchange, transfer, license, acquisition, or disposition (other than in the ordinary course of business consistent with past practice) of all or substantially all of the assets or business of the Company in any single transaction or series of related transactions; (c) any liquidation, winding-up, dissolution, recapitalization or other corporate reorganization of the Company, or any extraordinary dividend, whether of cash or other property; or (d) any other transaction undertaken by Seller, the Company or any of their Representatives which would reasonably be expected to prevent, impede or delay the consummation of the transactions contemplated by this Agreement.</w:t>
      </w:r>
    </w:p>
    <w:p>
      <w:pPr>
        <w:spacing w:after="0" w:line="17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Controls, Controlled by or under common Control with, such first Person.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Amended and Restated Articles of Association</w:t>
      </w:r>
      <w:r>
        <w:rPr>
          <w:rFonts w:ascii="Times New Roman" w:cs="Times New Roman" w:eastAsia="Times New Roman" w:hAnsi="Times New Roman"/>
          <w:sz w:val="22"/>
          <w:szCs w:val="22"/>
          <w:color w:val="auto"/>
        </w:rPr>
        <w:t>” means the Amended and Restated Articles of Association of the Company, with effect from the date on which the Company submits the application for the AMR Approval.</w:t>
      </w:r>
    </w:p>
    <w:p>
      <w:pPr>
        <w:spacing w:after="0" w:line="144"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AMR Approval</w:t>
      </w:r>
      <w:r>
        <w:rPr>
          <w:rFonts w:ascii="Times New Roman" w:cs="Times New Roman" w:eastAsia="Times New Roman" w:hAnsi="Times New Roman"/>
          <w:sz w:val="22"/>
          <w:szCs w:val="22"/>
          <w:color w:val="auto"/>
        </w:rPr>
        <w:t xml:space="preserve">” means that SAMR has issued a registration notice (“ </w:t>
      </w:r>
      <w:r>
        <w:rPr>
          <w:rFonts w:ascii="SimSun" w:cs="SimSun" w:eastAsia="SimSun" w:hAnsi="SimSun"/>
          <w:sz w:val="22"/>
          <w:szCs w:val="22"/>
          <w:color w:val="auto"/>
        </w:rPr>
        <w:t>登记通知书</w:t>
      </w:r>
      <w:r>
        <w:rPr>
          <w:rFonts w:ascii="Times New Roman" w:cs="Times New Roman" w:eastAsia="Times New Roman" w:hAnsi="Times New Roman"/>
          <w:sz w:val="22"/>
          <w:szCs w:val="22"/>
          <w:color w:val="auto"/>
        </w:rPr>
        <w:t xml:space="preserve"> ”), together with a new business license for the Company, evidencing that (a) Purchaser is the owner of an 80% equity interest in the Company and Seller is the owner of a 20% equity interest in the Company; and (b) the Amended and Restated Articles of Association of the Company, the appointment of directors, supervisors and legal representative nominated by Purchaser and Seller pursuant to the Shareholders Agreement and the Amended and Restated Articles of Association, and the resignation of such Persons from such positions of the Company as set forth in </w:t>
      </w:r>
      <w:r>
        <w:rPr>
          <w:rFonts w:ascii="Times New Roman" w:cs="Times New Roman" w:eastAsia="Times New Roman" w:hAnsi="Times New Roman"/>
          <w:sz w:val="22"/>
          <w:szCs w:val="22"/>
          <w:u w:val="single" w:color="auto"/>
          <w:color w:val="auto"/>
        </w:rPr>
        <w:t>Section 2.9(a)(iii)</w:t>
      </w:r>
      <w:r>
        <w:rPr>
          <w:rFonts w:ascii="Times New Roman" w:cs="Times New Roman" w:eastAsia="Times New Roman" w:hAnsi="Times New Roman"/>
          <w:sz w:val="22"/>
          <w:szCs w:val="22"/>
          <w:color w:val="auto"/>
        </w:rPr>
        <w:t xml:space="preserve"> have been filed with SAMR.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AMR Submission Date</w:t>
      </w:r>
      <w:r>
        <w:rPr>
          <w:rFonts w:ascii="Times New Roman" w:cs="Times New Roman" w:eastAsia="Times New Roman" w:hAnsi="Times New Roman"/>
          <w:sz w:val="22"/>
          <w:szCs w:val="22"/>
          <w:color w:val="auto"/>
        </w:rPr>
        <w:t>” means the official acceptance date by SAMR of the application for the AMR Approval.</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Agreements</w:t>
      </w:r>
      <w:r>
        <w:rPr>
          <w:rFonts w:ascii="Times New Roman" w:cs="Times New Roman" w:eastAsia="Times New Roman" w:hAnsi="Times New Roman"/>
          <w:sz w:val="22"/>
          <w:szCs w:val="22"/>
          <w:color w:val="auto"/>
        </w:rPr>
        <w:t>” means, collectively, the Shareholders Agreement, the Amended and Restated Articles of Association, the IP License Agreement, the Supply Agreement, the Transition Services Agreement, the Registration ETA and the Lease Agreement, each as defined herein.</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applicable PRC and non-PRC Laws for the prevention of public or commercial corruption and bribery.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means US$436,800,000.</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legal holiday, or other day on which commercial banks are required or authorized to be closed for general business in, Shanghai, PRC or the State of California, United States.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means, as of a given time, all cash, cash equivalents and other similar deposits at such time, as determined in accordance with the Accounting Principles;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“Cash” shall: (a) be calculated net of issued but uncleared checks, wire transfers and drafts written or issued by the Company at such time and (b) include all uncleared checks, wire transfers and drafts deposited or pending deposit for the account of the Company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means, as of 12:01 a.m. Beijing time on the Closing Date, all Cash of the Company.</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Debt</w:t>
      </w:r>
      <w:r>
        <w:rPr>
          <w:rFonts w:ascii="Times New Roman" w:cs="Times New Roman" w:eastAsia="Times New Roman" w:hAnsi="Times New Roman"/>
          <w:sz w:val="22"/>
          <w:szCs w:val="22"/>
          <w:color w:val="auto"/>
        </w:rPr>
        <w:t>” means, as of 12:01 a.m. Beijing time on the Closing Date, all Indebtedness of the Company for borrowed money, together with accrued and unpaid interest thereon, required to be reflected as Indebtedness on the balance sheet of the Company as of such time.</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Material Adverse Effect</w:t>
      </w:r>
      <w:r>
        <w:rPr>
          <w:rFonts w:ascii="Times New Roman" w:cs="Times New Roman" w:eastAsia="Times New Roman" w:hAnsi="Times New Roman"/>
          <w:sz w:val="21"/>
          <w:szCs w:val="21"/>
          <w:color w:val="auto"/>
        </w:rPr>
        <w:t>” means any event, development or change that has had or would reasonably be expected to have a material adverse effect on the businesses, assets, liabilities, properties, financial or other conditions or operations, or results of operations of the Company, other than any event, development or change, either alone or in combination, relating to or arising out of: (a) general economic, regulatory or political conditions, global, international, national or regional political, economic, financial or social conditions, or conditions in the financial, credit, debt, currency, capital or securities markets (including changes in interest or currency exchange rates); (b) (i) any acts of God (including weather, meteorological conditions or climate, pandemics, storms, earthquakes, floods, hurricanes, tornadoes, volcanic eruptions, natural disasters or other acts of nature), or (ii) any effect, event, change, development or occurrence resulting from an outbreak, or any escalation, worsening or diminution of, terrorism, hostilities, sabotage, cyber attack, war, military actions, political instability or other regional, national or international calamity, crisis or emergency, or any governmental or other response to any of the foregoing;</w:t>
      </w:r>
    </w:p>
    <w:p>
      <w:pPr>
        <w:spacing w:after="0" w:line="10" w:lineRule="exact"/>
        <w:rPr>
          <w:sz w:val="20"/>
          <w:szCs w:val="20"/>
          <w:color w:val="auto"/>
        </w:rPr>
      </w:pPr>
    </w:p>
    <w:p>
      <w:pPr>
        <w:ind w:right="20" w:firstLine="8"/>
        <w:spacing w:after="0" w:line="248" w:lineRule="auto"/>
        <w:tabs>
          <w:tab w:leader="none" w:pos="32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development or change in any of the industries or markets in which the Company operates, including cyclical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5" w:name="page96"/>
    <w:bookmarkEnd w:id="95"/>
    <w:p>
      <w:pPr>
        <w:jc w:val="both"/>
        <w:spacing w:after="0" w:line="249" w:lineRule="auto"/>
        <w:rPr>
          <w:sz w:val="20"/>
          <w:szCs w:val="20"/>
          <w:color w:val="auto"/>
        </w:rPr>
      </w:pPr>
      <w:r>
        <w:rPr>
          <w:rFonts w:ascii="Times New Roman" w:cs="Times New Roman" w:eastAsia="Times New Roman" w:hAnsi="Times New Roman"/>
          <w:sz w:val="22"/>
          <w:szCs w:val="22"/>
          <w:color w:val="auto"/>
        </w:rPr>
        <w:t>and trends; (d) any enactment of, change in, or change in the interpretation of, applicable Law or in the Accounting Principles or other applicable accounting standards, or in each case any change in the interpretation thereof or the adoption or addition of any new Laws or rules, or the rescission, expiration or retirement of any current Law or rule; (e) the announcement, pendency or performance of the transactions contemplated hereby, including by reason of the identity of Purchaser, or any Affiliate of Purchaser, or any communication by Purchaser regarding the plans or intentions of Purchaser with respect to the conduct of the business of the Company, and including the impact of any of the foregoing on any relationships, contractual or otherwise, with customers, suppliers, distributors, collaboration partners, employees or regulators; (f) any action taken, or failure to take any action, in each case, to the extent such action or failure to take action is required by the express terms of this Agreement or to which Purchaser has approved, consented or requested; or (g) any effect, event, change, development, occurrence or circumstance resulting from any breach of this Agreement by Purchaser.</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Capital Account Bank</w:t>
      </w:r>
      <w:r>
        <w:rPr>
          <w:rFonts w:ascii="Times New Roman" w:cs="Times New Roman" w:eastAsia="Times New Roman" w:hAnsi="Times New Roman"/>
          <w:sz w:val="22"/>
          <w:szCs w:val="22"/>
          <w:color w:val="auto"/>
        </w:rPr>
        <w:t>” means the Shanghai Municipal branch of Industrial and Commercial Bank of China, where the Company maintains its capital account.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Real Property Leases</w:t>
      </w:r>
      <w:r>
        <w:rPr>
          <w:rFonts w:ascii="Times New Roman" w:cs="Times New Roman" w:eastAsia="Times New Roman" w:hAnsi="Times New Roman"/>
          <w:sz w:val="22"/>
          <w:szCs w:val="22"/>
          <w:color w:val="auto"/>
        </w:rPr>
        <w:t>” means the real property leases, subleases, licenses, and other agreements with respect to the Company Real Property (as defined below), including all amendments, modifications, supplements, extensions, renewals, guaranties or other agreements with respect thereto, pursuant to which the Company is a party.</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Transaction Expenses</w:t>
      </w:r>
      <w:r>
        <w:rPr>
          <w:rFonts w:ascii="Times New Roman" w:cs="Times New Roman" w:eastAsia="Times New Roman" w:hAnsi="Times New Roman"/>
          <w:sz w:val="22"/>
          <w:szCs w:val="22"/>
          <w:color w:val="auto"/>
        </w:rPr>
        <w:t xml:space="preserve">” means, except as otherwise set forth in this Agreement, the aggregate amount of all reasonable out-of-pocket fees and expenses (whether or not yet invoiced), incurred by, or on behalf of, or to be paid by, the Company as of the Closing relating to the performance of the Company’s obligations (including the payments payable to any Company Employee under the Post-Closing Bonus Plan in accordance with </w:t>
      </w:r>
      <w:r>
        <w:rPr>
          <w:rFonts w:ascii="Times New Roman" w:cs="Times New Roman" w:eastAsia="Times New Roman" w:hAnsi="Times New Roman"/>
          <w:sz w:val="22"/>
          <w:szCs w:val="22"/>
          <w:u w:val="single" w:color="auto"/>
          <w:color w:val="auto"/>
        </w:rPr>
        <w:t>Section 5.6(b)(iii)</w:t>
      </w:r>
      <w:r>
        <w:rPr>
          <w:rFonts w:ascii="Times New Roman" w:cs="Times New Roman" w:eastAsia="Times New Roman" w:hAnsi="Times New Roman"/>
          <w:sz w:val="22"/>
          <w:szCs w:val="22"/>
          <w:color w:val="auto"/>
        </w:rPr>
        <w:t>, but excluding any post-Closing liabilities or obligations arising as a result of the occurrence of one or more additional post-Closing events under so-called “double-trigger” severance provisions contained in any Employee Benefit Plan. For the avoidance of doubt, “Company Transaction Expenses” excludes costs and expenses incurred by the Company in connection with the termination, transition or transfer of the Excluded Employees.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approval, authorization, release, waiver, permit, grant, franchise, concession, agreement, license, exemption or order of, registration, certificate issued by any Person, including any Governmental Authority.</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 contract, agreement, indenture, note, bond, loan, instrument, lease, mortgage, franchise, license, commitment, purchase order, and other legally binding arrangement, whether written or oral, but excluding all Employee Benefit Plans.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of a given Person means the power or authority, whether exercised or not, to direct the business, management and policies of such Person, directly or indirectly, whether through the ownership of voting securities, by Contract or otherwise; provided, that such power or authority shall conclusively be presumed to exist upon possession of beneficial ownership or power to direct the vote of more than fifty percent (50%) of the votes entitled to be cast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96" w:name="page97"/>
    <w:bookmarkEnd w:id="96"/>
    <w:p>
      <w:pPr>
        <w:jc w:val="both"/>
        <w:spacing w:after="0" w:line="271" w:lineRule="auto"/>
        <w:rPr>
          <w:sz w:val="20"/>
          <w:szCs w:val="20"/>
          <w:color w:val="auto"/>
        </w:rPr>
      </w:pPr>
      <w:r>
        <w:rPr>
          <w:rFonts w:ascii="Times New Roman" w:cs="Times New Roman" w:eastAsia="Times New Roman" w:hAnsi="Times New Roman"/>
          <w:sz w:val="22"/>
          <w:szCs w:val="22"/>
          <w:color w:val="auto"/>
        </w:rPr>
        <w:t>meeting of the members or shareholders of such Person or power to control the composition of a majority of the board of directors of such Person. The terms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have meanings correlative to the foregoing.</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xml:space="preserve">” means the date on which the Completion Accounts, the Actual Net Debt Amount, the Actual Working Capital Amount and the Actual Working Capital Adjustment Amount become final and binding on Seller and Purchaser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as applicable.</w:t>
      </w:r>
    </w:p>
    <w:p>
      <w:pPr>
        <w:spacing w:after="0" w:line="16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appliable Law relating to environmental impact assessment, environmental related permits/filings, the pollution of the environment or natural resources or the protection of human health and safety from the presence of Hazardous Materials.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xml:space="preserve">” means each plan, program, policy, agreement, or arrangement: (a) that is sponsored or maintained by the Company; (b) to which the Company is a party or with respect to which the Company has any present liability; or (c) the Offshore Plans, in each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that is (i) an employment, profit-sharing, deferred compensation, bonus, stock option, phantom stock, stock units, stock purchase, performance unit, stock appreciation right, employee stock ownership, equity compensation, pension, retirement, severance, change of control, retention, supplemental unemployment benefits, employee loan, welfare or incentive compensation plan, policy, program, agreement or arrangement; (ii) any plan, policy, program, agreement or arrangement providing for “fringe benefits,” perquisites or “survivor benefits”; and (iii) any plan, policy, program, agreement or arrangement providing for hospitalization, health, welfare, dental, disability, life insurance or other similar payments or benefits;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definition, in no event shall an Employee Benefit Plan include any arrangement maintained by a Governmental Authority to which the Company is required to contribute under applicable Law.</w:t>
      </w:r>
    </w:p>
    <w:p>
      <w:pPr>
        <w:spacing w:after="0" w:line="19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Payment</w:t>
      </w:r>
      <w:r>
        <w:rPr>
          <w:rFonts w:ascii="Times New Roman" w:cs="Times New Roman" w:eastAsia="Times New Roman" w:hAnsi="Times New Roman"/>
          <w:sz w:val="22"/>
          <w:szCs w:val="22"/>
          <w:color w:val="auto"/>
        </w:rPr>
        <w:t xml:space="preserve">” means US$218,400,000,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80% of the Estimated Net Debt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80% of the Estimated Working Capital Adjustment Amount.</w:t>
      </w:r>
    </w:p>
    <w:p>
      <w:pPr>
        <w:spacing w:after="0" w:line="1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Flash Spin-off</w:t>
      </w:r>
      <w:r>
        <w:rPr>
          <w:rFonts w:ascii="Times New Roman" w:cs="Times New Roman" w:eastAsia="Times New Roman" w:hAnsi="Times New Roman"/>
          <w:sz w:val="22"/>
          <w:szCs w:val="22"/>
          <w:color w:val="auto"/>
        </w:rPr>
        <w:t>” means a disposition or spin-off of all, or substantially all, of the flash business of Western Digital Corporation.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with respect to a Party, an actual and intentional misrepresentation of a material existing fact pursuant to any representation or warranty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given by such Party, where (i) such Party had Knowledge of the falsity of such fact, (ii) the misrepresentation was made for the purpose of inducing the other Party to act, (iii) other Party justifiably relied upon such misrepresentation and suffered resulting Losses, and (iv) such misrepresentation would entitle the other Party to revocation of this Agreement (or the transactions contemplated under this Agreement) under Article 148 and/or Article 149 of the Civil Code of the People’s Republic of China. For the avoidance of doubt, Fraud shall not include any claim for negligent misrepresentations or any tort based on negligence or any theory of fraud otherwise not recognized by Article 148 or Article 149 of the Civil Code of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97" w:name="page98"/>
    <w:bookmarkEnd w:id="9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Enforceability Exceptions</w:t>
      </w:r>
      <w:r>
        <w:rPr>
          <w:rFonts w:ascii="Times New Roman" w:cs="Times New Roman" w:eastAsia="Times New Roman" w:hAnsi="Times New Roman"/>
          <w:sz w:val="22"/>
          <w:szCs w:val="22"/>
          <w:color w:val="auto"/>
        </w:rPr>
        <w:t>” means, collectively, (a) applicable bankruptcy, reorganization, insolvency, moratorium or other similar Laws affecting the enforcement of creditors’ rights generally from time to time in effect; and (b) the availability of specific performance, injunctive relief, protective order or similar remedies.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government of any nation, federation, province or state or any other political subdivision thereof, any entity, authority or body exercising executive, legislative, judicial, regulatory or administrative functions of or pertaining to government, including any governmental authority, agency, department, board, commission or instrumentality of the PRC or any other country, or any political subdivision thereof, any court, tribunal or arbitrator, and any self-regulatory organization.</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any substance regulated or classified as hazardous, toxic, radioactive, dangerous, a pollutant, a contaminant, petroleum, oil or words of similar meaning or effect under any Law relating to pollution, waste or the environment.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Hong Kong</w:t>
      </w:r>
      <w:r>
        <w:rPr>
          <w:rFonts w:ascii="Times New Roman" w:cs="Times New Roman" w:eastAsia="Times New Roman" w:hAnsi="Times New Roman"/>
          <w:sz w:val="22"/>
          <w:szCs w:val="22"/>
          <w:color w:val="auto"/>
        </w:rPr>
        <w:t>” means the Hong Kong Special Administrative Region of the PRC.</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License Agreement</w:t>
      </w:r>
      <w:r>
        <w:rPr>
          <w:rFonts w:ascii="Times New Roman" w:cs="Times New Roman" w:eastAsia="Times New Roman" w:hAnsi="Times New Roman"/>
          <w:sz w:val="22"/>
          <w:szCs w:val="22"/>
          <w:color w:val="auto"/>
        </w:rPr>
        <w:t>” means the IP License Agreement to be entered into by and between the Company and Seller as of the Closing.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the Company, without duplication: (a) indebtedness for borrowed money;</w:t>
      </w:r>
    </w:p>
    <w:p>
      <w:pPr>
        <w:spacing w:after="0" w:line="28" w:lineRule="exact"/>
        <w:rPr>
          <w:sz w:val="20"/>
          <w:szCs w:val="20"/>
          <w:color w:val="auto"/>
        </w:rPr>
      </w:pPr>
    </w:p>
    <w:p>
      <w:pPr>
        <w:jc w:val="both"/>
        <w:ind w:firstLine="8"/>
        <w:spacing w:after="0" w:line="256" w:lineRule="auto"/>
        <w:tabs>
          <w:tab w:leader="none" w:pos="31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evidenced by bonds, notes, debentures or other similar instruments or, in each case and only to the extent drawn by the counterparty thereto, letters of credit or performance bonds; (c) obligations under derivative financial instruments, including interest rate swaps; (d) obligations for any deferred purchase price of property, services, stocks or assets with respect to which the Company is liable (but excluding trade payables, accrued expenses and accruals incurred in the ordinary course of business and earn-outs not yet earned); (e) that portion of any obligations under any capitalized lease that is classified, in conformity with the Accounting Principles, as a liability on the balance sheet of the Company; (f) accrued and unpaid interest, if any, on and all make-whole amounts, prepayment penalties, breakage fees and other exit fees paid or payable in the event that any of the foregoing is to be repaid or otherwise discharged; and (g) all guarantees of the obligations of other Persons described in the immediately precedent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For purposes of this Agreement, “Indebtedness” shall expressly exclude:</w:t>
      </w:r>
    </w:p>
    <w:p>
      <w:pPr>
        <w:spacing w:after="0" w:line="5" w:lineRule="exact"/>
        <w:rPr>
          <w:rFonts w:ascii="Times New Roman" w:cs="Times New Roman" w:eastAsia="Times New Roman" w:hAnsi="Times New Roman"/>
          <w:sz w:val="21"/>
          <w:szCs w:val="21"/>
          <w:color w:val="auto"/>
        </w:rPr>
      </w:pPr>
    </w:p>
    <w:p>
      <w:pPr>
        <w:ind w:firstLine="8"/>
        <w:spacing w:after="0" w:line="259" w:lineRule="auto"/>
        <w:tabs>
          <w:tab w:leader="none" w:pos="2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liabilities, calculated in accordance with the Accounting Principles; (ii) Company Transaction Expenses; (iii) all Tax liabilities; and (iv) all Purchaser fees and expenses.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all intellectual property, including all: (a) patents, patent applications, invention disclosures and all related continuations, continuations-in-part, divisionals, reissues, re-examinations, substitutions and extensions thereof;</w:t>
      </w:r>
    </w:p>
    <w:p>
      <w:pPr>
        <w:spacing w:after="0" w:line="2" w:lineRule="exact"/>
        <w:rPr>
          <w:sz w:val="20"/>
          <w:szCs w:val="20"/>
          <w:color w:val="auto"/>
        </w:rPr>
      </w:pPr>
    </w:p>
    <w:p>
      <w:pPr>
        <w:jc w:val="both"/>
        <w:ind w:firstLine="8"/>
        <w:spacing w:after="0" w:line="252" w:lineRule="auto"/>
        <w:tabs>
          <w:tab w:leader="none" w:pos="35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trademarks, service marks, domain names, logos, business name, slogans, trade dress, design rights and other similar designations of source or origin; (c) copyrights; (d) trade secrets; and know-how; and (e) all applications and registrations for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98" w:name="page99"/>
    <w:bookmarkEnd w:id="9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means the period from and after the date hereof until the earlier to occur of (a) the Closing and (b) the date this Agreement is otherwise terminated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Purchaser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Labor Organization</w:t>
      </w:r>
      <w:r>
        <w:rPr>
          <w:rFonts w:ascii="Times New Roman" w:cs="Times New Roman" w:eastAsia="Times New Roman" w:hAnsi="Times New Roman"/>
          <w:sz w:val="22"/>
          <w:szCs w:val="22"/>
          <w:color w:val="auto"/>
        </w:rPr>
        <w:t>” means any labor union, labor organization, workers’ association or works council.</w:t>
      </w:r>
    </w:p>
    <w:p>
      <w:pPr>
        <w:spacing w:after="0" w:line="22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and all provisions of any applicable constitution, treaty, statute, law, regulation, ordinance, code, rule, or rule of common law, any governmental approval, concession, grant, franchise, license, agreement, directive, requirement, or other governmental restriction or any similar form of decision of, or determination by, or any interpretation or administration of any of the foregoing by, any Governmental Authority, in each case as amended, and any and all applicable Orders.</w:t>
      </w:r>
    </w:p>
    <w:p>
      <w:pPr>
        <w:spacing w:after="0" w:line="16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Agreement</w:t>
      </w:r>
      <w:r>
        <w:rPr>
          <w:rFonts w:ascii="Times New Roman" w:cs="Times New Roman" w:eastAsia="Times New Roman" w:hAnsi="Times New Roman"/>
          <w:sz w:val="22"/>
          <w:szCs w:val="22"/>
          <w:color w:val="auto"/>
        </w:rPr>
        <w:t>” means the Lease Agreement to be entered into by and between the Company and Seller as of the Closing.</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Guarantee</w:t>
      </w:r>
      <w:r>
        <w:rPr>
          <w:rFonts w:ascii="Times New Roman" w:cs="Times New Roman" w:eastAsia="Times New Roman" w:hAnsi="Times New Roman"/>
          <w:sz w:val="22"/>
          <w:szCs w:val="22"/>
          <w:color w:val="auto"/>
        </w:rPr>
        <w:t xml:space="preserve">” means each Letter of Guarantee issued by the Purchaser Guarantor in favor of Seller, to guarantee the payment obligations of Purchaser with respect to each of the Estimated Closing Payment, any adjustment to the Estimated Closing Payment payable to Seller, the Second Installment Payment and, each Deferred Payment, pursuant to the terms of this Agreement, substantially in the form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any mortgage, lien, pledge, charge, hypothecation, claim, encroachment, easement, adverse claim, option, security interest or encumbrance of any kind with respect to such asset. For the avoidance of doubt, the license or other grant of rights with respect to Intellectual Property as explicitly set out in the Seller Disclosure Letter, in and of itself, shall not be deemed to be a Lien.</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with respect to a breach of any representation or warranty or any breach or non-fulfillment by a Party of any of its covenants or agreements under this Agreement, all costs, expenses, damages, obligations, liabilities, assessments, judgments, losses, settlements, awards and fees (including any reasonable legal fees and other reasonable expenses incurred in connection with, and any amounts paid in settlement of, any pending or threatened Action) actually suffered, sustained, incurred or paid by the relevant Person(s) to be indemnified, to the extent directly arising out of or resulting from the breach of any such representation, warranty, covenant or agreement (as the case may be).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99" w:name="page100"/>
    <w:bookmarkEnd w:id="9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with respect to a particular legal entity, the articles of incorporation, certificate of incorporation, formation or registration (including, if applicable, certificates of change of name), memorandum of association, articles of association, bylaws, articles of organization, limited liability company agreement, trust deed, trust instrument, operating agreement, joint venture agreement, business license, or similar or other constitutive, governing, or charter documents, or equivalent documents, of such entity.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Offshore Plans</w:t>
      </w:r>
      <w:r>
        <w:rPr>
          <w:rFonts w:ascii="Times New Roman" w:cs="Times New Roman" w:eastAsia="Times New Roman" w:hAnsi="Times New Roman"/>
          <w:sz w:val="22"/>
          <w:szCs w:val="22"/>
          <w:color w:val="auto"/>
        </w:rPr>
        <w:t>” means, all material benefit or compensation plans, policies or programs that are sponsored or maintained by Seller or its offshore Affiliates and covering all or part of the employees of the Company, including, without limitation, the Western Digital Corporation Amended and Restated 2017 Performance Incentive Plan, amended and restated as of August 11, 2020, and Western Digital Corporation Amended and Restated 2021 Long-Term Incentive Plan, amended and restated as of August 22, 2023.</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w:t>
      </w:r>
      <w:r>
        <w:rPr>
          <w:rFonts w:ascii="Times New Roman" w:cs="Times New Roman" w:eastAsia="Times New Roman" w:hAnsi="Times New Roman"/>
          <w:sz w:val="21"/>
          <w:szCs w:val="21"/>
          <w:color w:val="auto"/>
        </w:rPr>
        <w:t xml:space="preserve">” means all: (a) Liens for Taxes or other governmental charges not yet due or payable or that are being contested in good faith; (b) statutory mechanics’, carriers’, workers’, repairers’ and similar statutory Liens incurred in the ordinary course of business; (c) easements, rights of way, zoning ordinances or other, similar encumbrances, as identified in real property ownership certificates or title reports or compulsorily permitted by applicable Laws, affecting the Company Real Property; (d) Liens that shall be released prior to or as of the Closing; (e) Liens with respect to any obligations as lessee under capitalized leases as disclosed in the VDR; (f) rights, interests, Liens or titles of, a licensor, sublicensor, licensee, sublicensee, lessor or sublessor under any license, lease or other similar agreement or in the property being leased or licensed to the Company incurred in the ordinary course of business; and (g) Liens (if any) set forth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of the Seller Disclosure Letter.</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limited partnership, proprietorship, association, limited liability company, firm, trust, estate or other enterprise or entity.</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w:t>
      </w:r>
      <w:r>
        <w:rPr>
          <w:rFonts w:ascii="Times New Roman" w:cs="Times New Roman" w:eastAsia="Times New Roman" w:hAnsi="Times New Roman"/>
          <w:sz w:val="22"/>
          <w:szCs w:val="22"/>
          <w:color w:val="auto"/>
        </w:rPr>
        <w:t>” means the People’s Republic of China, solely for purposes of this Agreement, excluding Hong Kong, the Macau Special Administrative Region and the region of Taiwan.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 Anti-Monopoly Law</w:t>
      </w:r>
      <w:r>
        <w:rPr>
          <w:rFonts w:ascii="Times New Roman" w:cs="Times New Roman" w:eastAsia="Times New Roman" w:hAnsi="Times New Roman"/>
          <w:sz w:val="22"/>
          <w:szCs w:val="22"/>
          <w:color w:val="auto"/>
        </w:rPr>
        <w:t>” means the Anti-Monopoly Law of the PRC promulgated on August 30, 2007, amended on June 24, 2022 and effective as so amended as of August 1, 2022, and any amendment thereto.</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 Antitrust Clearance</w:t>
      </w:r>
      <w:r>
        <w:rPr>
          <w:rFonts w:ascii="Times New Roman" w:cs="Times New Roman" w:eastAsia="Times New Roman" w:hAnsi="Times New Roman"/>
          <w:sz w:val="22"/>
          <w:szCs w:val="22"/>
          <w:color w:val="auto"/>
        </w:rPr>
        <w:t>” means (i) a decision or other document issued by SAMR approving the transactions contemplated hereby pursuant to the PRC Anti-Monopoly Law or (ii) the relevant statutory periods for a decision by SAMR prescribed by the PRC Anti-Monopoly Law, including any extensions thereof, having expired and no Restraint having been raised or imposed by SAMR with respect to the transactions contemplated hereby.</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PRC Withholding Tax</w:t>
      </w:r>
      <w:r>
        <w:rPr>
          <w:rFonts w:ascii="Times New Roman" w:cs="Times New Roman" w:eastAsia="Times New Roman" w:hAnsi="Times New Roman"/>
          <w:sz w:val="22"/>
          <w:szCs w:val="22"/>
          <w:color w:val="auto"/>
        </w:rPr>
        <w:t>” means the amount of any withholding Tax imposed on the transfer of the Purchased Interest by Seller to Purchaser pursuant to this Agreement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71" w:lineRule="auto"/>
        <w:rPr>
          <w:sz w:val="20"/>
          <w:szCs w:val="20"/>
          <w:color w:val="auto"/>
        </w:rPr>
      </w:pPr>
      <w:r>
        <w:rPr>
          <w:rFonts w:ascii="Times New Roman" w:cs="Times New Roman" w:eastAsia="Times New Roman" w:hAnsi="Times New Roman"/>
          <w:sz w:val="22"/>
          <w:szCs w:val="22"/>
          <w:color w:val="auto"/>
        </w:rPr>
        <w:t>any Tax imposed on the payment of any contingent or deferred payments relating thereto) as assessed and finally determined by a competent PRC Taxing Authority.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shall mean any taxable period ending on or before the Closing Date, and, with respect to any taxable period beginning on or before and ending after the Closing Date, the portion of such taxable period ending at the end of the Closing Date.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Guarantor</w:t>
      </w:r>
      <w:r>
        <w:rPr>
          <w:rFonts w:ascii="Times New Roman" w:cs="Times New Roman" w:eastAsia="Times New Roman" w:hAnsi="Times New Roman"/>
          <w:sz w:val="22"/>
          <w:szCs w:val="22"/>
          <w:color w:val="auto"/>
        </w:rPr>
        <w:t>” means Bank of Communications, Ltd., Singapore Branch.</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Material Adverse Effect</w:t>
      </w:r>
      <w:r>
        <w:rPr>
          <w:rFonts w:ascii="Times New Roman" w:cs="Times New Roman" w:eastAsia="Times New Roman" w:hAnsi="Times New Roman"/>
          <w:sz w:val="22"/>
          <w:szCs w:val="22"/>
          <w:color w:val="auto"/>
        </w:rPr>
        <w:t>” means any event, development or change that has had, or would reasonably be expected to have, a material adverse effect on the ability of Purchaser to perform its obligations under this Agreement, or that would prevent or materially impede, interfere with, hinder or delay the consummation by Purchaser of the transactions contemplated hereby.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its officers, directors, employees, Affiliates, financial advisors, attorneys, accountants, actuaries, consultants and other agents, advisors and representatives.</w:t>
      </w:r>
    </w:p>
    <w:p>
      <w:pPr>
        <w:spacing w:after="0" w:line="158" w:lineRule="exact"/>
        <w:rPr>
          <w:sz w:val="20"/>
          <w:szCs w:val="20"/>
          <w:color w:val="auto"/>
        </w:rPr>
      </w:pPr>
    </w:p>
    <w:p>
      <w:pPr>
        <w:jc w:val="both"/>
        <w:ind w:right="20" w:firstLine="648"/>
        <w:spacing w:after="0" w:line="26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Registration Voucher</w:t>
      </w:r>
      <w:r>
        <w:rPr>
          <w:rFonts w:ascii="Times New Roman" w:cs="Times New Roman" w:eastAsia="Times New Roman" w:hAnsi="Times New Roman"/>
          <w:sz w:val="22"/>
          <w:szCs w:val="22"/>
          <w:color w:val="auto"/>
        </w:rPr>
        <w:t>” means the registration voucher (“</w:t>
      </w:r>
      <w:r>
        <w:rPr>
          <w:rFonts w:ascii="SimSun" w:cs="SimSun" w:eastAsia="SimSun" w:hAnsi="SimSun"/>
          <w:sz w:val="22"/>
          <w:szCs w:val="22"/>
          <w:color w:val="auto"/>
        </w:rPr>
        <w:t>业务登记凭证</w:t>
      </w:r>
      <w:r>
        <w:rPr>
          <w:rFonts w:ascii="Times New Roman" w:cs="Times New Roman" w:eastAsia="Times New Roman" w:hAnsi="Times New Roman"/>
          <w:sz w:val="22"/>
          <w:szCs w:val="22"/>
          <w:color w:val="auto"/>
        </w:rPr>
        <w:t>”) affixed with the seal of the Company Capital Account Bank acknowledging completion of the registration of the updated shareholder information for the Company as a result of the Purchaser’s acquisition of the Purchased Interest pursuant hereto.</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SAMR</w:t>
      </w:r>
      <w:r>
        <w:rPr>
          <w:rFonts w:ascii="Times New Roman" w:cs="Times New Roman" w:eastAsia="Times New Roman" w:hAnsi="Times New Roman"/>
          <w:sz w:val="22"/>
          <w:szCs w:val="22"/>
          <w:color w:val="auto"/>
        </w:rPr>
        <w:t>” means the State Administration for Market Regulation of the PRC, or, with respect to the issuance of any business license or filing or registration to be effected by or with the Administration for Market Regulation of the PRC, any Governmental Authority which is similarly competent to issue such business license or accept such filing or registration under the Laws of the PRC.</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individual or entity that is the subject or target of sanctions or restrictions under Sanctions Laws, including: (i) any individual or entity listed on any applicable U.S. or non-U.S. sanctions- or export-related restricted party list, including, without limitation, OFAC’s Specially Designated Nationals and Blocked Persons List and the EU Consolidated List; or (ii) any entity that is, in the aggregate, fifty percent (50%) or greater owned, directly or indirectly, or otherwise Controlled by a person or persons described in clause (i) above.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Laws</w:t>
      </w:r>
      <w:r>
        <w:rPr>
          <w:rFonts w:ascii="Times New Roman" w:cs="Times New Roman" w:eastAsia="Times New Roman" w:hAnsi="Times New Roman"/>
          <w:sz w:val="22"/>
          <w:szCs w:val="22"/>
          <w:color w:val="auto"/>
        </w:rPr>
        <w:t>” means all applicable U.S. and non-U.S. Laws relating to economic or trade sanctions, including, without limitation, the Laws administered or enforced by the United States (including by OFAC or the U.S. Department of State), those promulgated by the European Union as required to be enforced by its member states and as promulgated by the United Nations as required to be enforced by its member states.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Disclosure Letter</w:t>
      </w:r>
      <w:r>
        <w:rPr>
          <w:rFonts w:ascii="Times New Roman" w:cs="Times New Roman" w:eastAsia="Times New Roman" w:hAnsi="Times New Roman"/>
          <w:sz w:val="22"/>
          <w:szCs w:val="22"/>
          <w:color w:val="auto"/>
        </w:rPr>
        <w:t>” means the written disclosure letter, dated as of the date hereof, delivered by Seller to Purchaser in connection with the execution and delivery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01" w:name="page102"/>
    <w:bookmarkEnd w:id="101"/>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means the representations and warranties of Seller contained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(Organization and Qualification),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(Authorization; Enforceability),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(solely with respect to clause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thereof) and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(Consents and Approvals; No Violations),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(Ownership of Equity Interests),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(Organization and Qualification),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(Capitalization and Corporate Structure), and </w:t>
      </w:r>
      <w:r>
        <w:rPr>
          <w:rFonts w:ascii="Times New Roman" w:cs="Times New Roman" w:eastAsia="Times New Roman" w:hAnsi="Times New Roman"/>
          <w:sz w:val="22"/>
          <w:szCs w:val="22"/>
          <w:u w:val="single" w:color="auto"/>
          <w:color w:val="auto"/>
        </w:rPr>
        <w:t>Section 3.29</w:t>
      </w:r>
      <w:r>
        <w:rPr>
          <w:rFonts w:ascii="Times New Roman" w:cs="Times New Roman" w:eastAsia="Times New Roman" w:hAnsi="Times New Roman"/>
          <w:sz w:val="22"/>
          <w:szCs w:val="22"/>
          <w:color w:val="auto"/>
        </w:rPr>
        <w:t xml:space="preserve"> (Brokers).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Material Adverse Effect</w:t>
      </w:r>
      <w:r>
        <w:rPr>
          <w:rFonts w:ascii="Times New Roman" w:cs="Times New Roman" w:eastAsia="Times New Roman" w:hAnsi="Times New Roman"/>
          <w:sz w:val="21"/>
          <w:szCs w:val="21"/>
          <w:color w:val="auto"/>
        </w:rPr>
        <w:t>” means any event, development or change that has had, or would reasonably be expected to have, a material adverse effect on (i) the ability of Seller to perform its obligations under this Agreement, or that would prevent or materially impede, interfere with, hinder or delay the consummation by Seller of the transactions contemplated hereby; and/or</w:t>
      </w:r>
    </w:p>
    <w:p>
      <w:pPr>
        <w:spacing w:after="0" w:line="3" w:lineRule="exact"/>
        <w:rPr>
          <w:sz w:val="20"/>
          <w:szCs w:val="20"/>
          <w:color w:val="auto"/>
        </w:rPr>
      </w:pPr>
    </w:p>
    <w:p>
      <w:pPr>
        <w:ind w:firstLine="8"/>
        <w:spacing w:after="0" w:line="261" w:lineRule="auto"/>
        <w:tabs>
          <w:tab w:leader="none" w:pos="32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Western Digital Technologies, Inc. to assume joint and several liability with Seller for any amounts payable by Seller to Purchaser under this Agreement.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Agreement</w:t>
      </w:r>
      <w:r>
        <w:rPr>
          <w:rFonts w:ascii="Times New Roman" w:cs="Times New Roman" w:eastAsia="Times New Roman" w:hAnsi="Times New Roman"/>
          <w:sz w:val="22"/>
          <w:szCs w:val="22"/>
          <w:color w:val="auto"/>
        </w:rPr>
        <w:t xml:space="preserve">” means the Shareholders Agreement,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one (1)-month CME Term SOFR published by CME Group Inc..</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when used with respect to any Person, means that, as of any date of determination: (a) the amount of the “fair saleable value” of the assets of such Person shall,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shall be required to pay the probable liabilities of such Person on its existing debts (including contingent liabilities) as such debts become absolute and matured;</w:t>
      </w:r>
    </w:p>
    <w:p>
      <w:pPr>
        <w:spacing w:after="0" w:line="2" w:lineRule="exact"/>
        <w:rPr>
          <w:sz w:val="20"/>
          <w:szCs w:val="20"/>
          <w:color w:val="auto"/>
        </w:rPr>
      </w:pPr>
    </w:p>
    <w:p>
      <w:pPr>
        <w:jc w:val="both"/>
        <w:ind w:firstLine="8"/>
        <w:spacing w:after="0" w:line="246" w:lineRule="auto"/>
        <w:tabs>
          <w:tab w:leader="none" w:pos="32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shall not have, as of such date, an unreasonably small amount of capital for the operation of the businesses in which it is engaged or proposed to be engaged following such date; and (c) such Person shall be able to pay its liabilities, including contingent and other liabilities, as they mature. For the purpose of this definition, “not have an unreasonably small amount of capital for the operation of the businesses in which it is engaged or proposed to be engaged” and “able to pay its liabilities, including contingent and other liabilities, as they mature” means that such Person shall be able to generate enough cash from operations, asset dispositions or refinancing, or a combination thereof, to meet its obligations as they become due.</w:t>
      </w:r>
    </w:p>
    <w:p>
      <w:pPr>
        <w:spacing w:after="0" w:line="18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specified Person, any other Person that is Controlled directly or indirectly by such given Person.</w:t>
      </w:r>
    </w:p>
    <w:p>
      <w:pPr>
        <w:spacing w:after="0" w:line="17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Supply Agreement</w:t>
      </w:r>
      <w:r>
        <w:rPr>
          <w:rFonts w:ascii="Times New Roman" w:cs="Times New Roman" w:eastAsia="Times New Roman" w:hAnsi="Times New Roman"/>
          <w:sz w:val="22"/>
          <w:szCs w:val="22"/>
          <w:color w:val="auto"/>
        </w:rPr>
        <w:t xml:space="preserve">” means the Supply Agreement to be entered into by and between the Company and Seller as of the Closing, which shall, among other terms, include the provisions set forth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Working Capital Amount</w:t>
      </w:r>
      <w:r>
        <w:rPr>
          <w:rFonts w:ascii="Times New Roman" w:cs="Times New Roman" w:eastAsia="Times New Roman" w:hAnsi="Times New Roman"/>
          <w:sz w:val="22"/>
          <w:szCs w:val="22"/>
          <w:color w:val="auto"/>
        </w:rPr>
        <w:t>” means US$72,205,000.</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declaration, report, claim for refund or information return, certificate, bill, statement or other written information required to be filed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02" w:name="page103"/>
    <w:bookmarkEnd w:id="102"/>
    <w:p>
      <w:pPr>
        <w:jc w:val="both"/>
        <w:spacing w:after="0" w:line="271" w:lineRule="auto"/>
        <w:rPr>
          <w:sz w:val="20"/>
          <w:szCs w:val="20"/>
          <w:color w:val="auto"/>
        </w:rPr>
      </w:pPr>
      <w:r>
        <w:rPr>
          <w:rFonts w:ascii="Times New Roman" w:cs="Times New Roman" w:eastAsia="Times New Roman" w:hAnsi="Times New Roman"/>
          <w:sz w:val="22"/>
          <w:szCs w:val="22"/>
          <w:color w:val="auto"/>
        </w:rPr>
        <w:t>Taxing Authority relating to Taxes, including any supplement, schedule or attachment thereto, and including any amendment thereof.</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taxes, fees, levies, duties, tariffs, imposts, and other charges of any kind (together with any and all interest, penalties, additions to tax and additional amounts imposed with respect thereto) imposed by any Taxing Authority, including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 added, or gains taxes; license, registration and documentation fees; and customs’ duties, tariffs, and similar charges. The term “</w:t>
      </w:r>
      <w:r>
        <w:rPr>
          <w:rFonts w:ascii="Times New Roman" w:cs="Times New Roman" w:eastAsia="Times New Roman" w:hAnsi="Times New Roman"/>
          <w:sz w:val="22"/>
          <w:szCs w:val="22"/>
          <w:u w:val="single" w:color="auto"/>
          <w:color w:val="auto"/>
        </w:rPr>
        <w:t>Taxable</w:t>
      </w:r>
      <w:r>
        <w:rPr>
          <w:rFonts w:ascii="Times New Roman" w:cs="Times New Roman" w:eastAsia="Times New Roman" w:hAnsi="Times New Roman"/>
          <w:sz w:val="22"/>
          <w:szCs w:val="22"/>
          <w:color w:val="auto"/>
        </w:rPr>
        <w:t>” has meanings correlative to the foregoing.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the State Taxation Administration of the PRC and its local counterparts, and any other Governmental Authority in China and/or other countries and jurisdictions responsible for the collection or enforcement of any Taxes.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Deductions</w:t>
      </w:r>
      <w:r>
        <w:rPr>
          <w:rFonts w:ascii="Times New Roman" w:cs="Times New Roman" w:eastAsia="Times New Roman" w:hAnsi="Times New Roman"/>
          <w:sz w:val="22"/>
          <w:szCs w:val="22"/>
          <w:color w:val="auto"/>
        </w:rPr>
        <w:t>” means all Tax losses, deductions, expenses or similar items incurred or deductible by the Company as a result of, in connection with or in anticipation of the transactions contemplated by this Agreement, including losses, deductions and expenses related to: (i) the payment of any change in control or stay bonuses, or similar compensatory amounts, to employees or other service providers to the Company; (ii) the acceleration of deferred financing fees related to the repayment of Indebtedness; and (iii) the payment of any fees or other expenses associated with the transactions contemplated by this Agreement that are not required to be capitalized, including fees, costs, expenses, brokerage fees, commissions, finders’ fees and disbursements of financial advisors, investment banks, data room administrators, attorneys, accountants and other advisors, service providers and third-party fees and expenses paid or payable by the Company (whether or not billed or accrued for) as a result of or in connection with the negotiation, documentation and consummation of the transactions contemplated by this Agreement.</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means the Transition Services Agreement to be entered into by and between the Company and Seller as of the Closing.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 Dollar</w:t>
      </w:r>
      <w:r>
        <w:rPr>
          <w:rFonts w:ascii="Times New Roman" w:cs="Times New Roman" w:eastAsia="Times New Roman" w:hAnsi="Times New Roman"/>
          <w:sz w:val="22"/>
          <w:szCs w:val="22"/>
          <w:color w:val="auto"/>
        </w:rPr>
        <w:t>” means the legal tender of the United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VDR</w:t>
      </w:r>
      <w:r>
        <w:rPr>
          <w:rFonts w:ascii="Times New Roman" w:cs="Times New Roman" w:eastAsia="Times New Roman" w:hAnsi="Times New Roman"/>
          <w:sz w:val="22"/>
          <w:szCs w:val="22"/>
          <w:color w:val="auto"/>
        </w:rPr>
        <w:t>” means Intralinks virtual data site entitled “Project Visage” maintained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PURCHASE AND SALE; CLOSING</w:t>
      </w:r>
    </w:p>
    <w:p>
      <w:pPr>
        <w:spacing w:after="0" w:line="19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Purchase and Sale</w:t>
      </w:r>
    </w:p>
    <w:p>
      <w:pPr>
        <w:spacing w:after="0" w:line="233" w:lineRule="exact"/>
        <w:rPr>
          <w:sz w:val="20"/>
          <w:szCs w:val="20"/>
          <w:color w:val="auto"/>
        </w:rPr>
      </w:pPr>
    </w:p>
    <w:p>
      <w:pPr>
        <w:jc w:val="both"/>
        <w:ind w:firstLine="1952"/>
        <w:spacing w:after="0" w:line="257" w:lineRule="auto"/>
        <w:tabs>
          <w:tab w:leader="none" w:pos="245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at the Closing, Seller agrees to sell, transfer and assign to Purchaser, and Purchaser agrees to purchase, acquire and accept from Seller, legal and beneficial title and ownership to an 80% equity interest in the Company (the “</w:t>
      </w:r>
      <w:r>
        <w:rPr>
          <w:rFonts w:ascii="Times New Roman" w:cs="Times New Roman" w:eastAsia="Times New Roman" w:hAnsi="Times New Roman"/>
          <w:sz w:val="22"/>
          <w:szCs w:val="22"/>
          <w:u w:val="single" w:color="auto"/>
          <w:color w:val="auto"/>
        </w:rPr>
        <w:t>Purchased Interest</w:t>
      </w:r>
      <w:r>
        <w:rPr>
          <w:rFonts w:ascii="Times New Roman" w:cs="Times New Roman" w:eastAsia="Times New Roman" w:hAnsi="Times New Roman"/>
          <w:sz w:val="22"/>
          <w:szCs w:val="22"/>
          <w:color w:val="auto"/>
        </w:rPr>
        <w:t xml:space="preserve">”), for the consideration specified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9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subject in all cases to the Purchaser’s obligation to pay the Purchase Price (as defined below) hereunder: (i) Purchaser shall be deemed to have acquired the ownership of the Purchased Interest and shall assume all of the rights, responsibilities and obligations of Seller with respect to the Purchased Interest under applicable Laws and as set forth in the Organizational Documents of the Company; (ii) Seller shall cease to hold any interest in the Purchased Interest and shall cease to have any obligations attached thereto; and (iii) Purchaser will hold an 80% equity interest in the Company, and Seller will hold the remaining 20% equity interest in the Company.</w:t>
      </w:r>
    </w:p>
    <w:p>
      <w:pPr>
        <w:spacing w:after="0" w:line="181"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Purchase Price</w:t>
      </w:r>
    </w:p>
    <w:p>
      <w:pPr>
        <w:spacing w:after="0" w:line="220" w:lineRule="exact"/>
        <w:rPr>
          <w:sz w:val="20"/>
          <w:szCs w:val="20"/>
          <w:color w:val="auto"/>
        </w:rPr>
      </w:pPr>
    </w:p>
    <w:p>
      <w:pPr>
        <w:jc w:val="both"/>
        <w:ind w:firstLine="1952"/>
        <w:spacing w:after="0" w:line="256" w:lineRule="auto"/>
        <w:tabs>
          <w:tab w:leader="none" w:pos="241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payable for the Purchased Interest shall be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which shall be an amount equal to (i) the Base Purchase Price,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80% of the Actual Net Debt Amount (as finally determined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as applicable),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80% of the Actual Working Capital Adjustment Amount (as finally determined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as applicable),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the Deferred Payments.</w:t>
      </w:r>
    </w:p>
    <w:p>
      <w:pPr>
        <w:spacing w:after="0" w:line="176"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9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shall be paid by Purchaser to Seller by wire transfer of immediately available funds in U.S. Dollar to a bank account designated by Seller, which account shall be designated by Seller no less than ten (10) Business Days prior to the date for payment thereof (the “</w:t>
      </w:r>
      <w:r>
        <w:rPr>
          <w:rFonts w:ascii="Times New Roman" w:cs="Times New Roman" w:eastAsia="Times New Roman" w:hAnsi="Times New Roman"/>
          <w:sz w:val="22"/>
          <w:szCs w:val="22"/>
          <w:u w:val="single" w:color="auto"/>
          <w:color w:val="auto"/>
        </w:rPr>
        <w:t>Seller’s Account</w:t>
      </w:r>
      <w:r>
        <w:rPr>
          <w:rFonts w:ascii="Times New Roman" w:cs="Times New Roman" w:eastAsia="Times New Roman" w:hAnsi="Times New Roman"/>
          <w:sz w:val="22"/>
          <w:szCs w:val="22"/>
          <w:color w:val="auto"/>
        </w:rPr>
        <w:t>”), as follows:</w:t>
      </w:r>
    </w:p>
    <w:p>
      <w:pPr>
        <w:spacing w:after="0" w:line="167"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Closing Payment, net of applicable Taxes in accordance with </w:t>
      </w:r>
      <w:r>
        <w:rPr>
          <w:rFonts w:ascii="Times New Roman" w:cs="Times New Roman" w:eastAsia="Times New Roman" w:hAnsi="Times New Roman"/>
          <w:sz w:val="22"/>
          <w:szCs w:val="22"/>
          <w:u w:val="single" w:color="auto"/>
          <w:color w:val="auto"/>
        </w:rPr>
        <w:t>Section 5.10(f)</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paid promptly, but in no event later than five (5) Business Days, following the Closing;</w:t>
      </w:r>
    </w:p>
    <w:p>
      <w:pPr>
        <w:spacing w:after="0" w:line="195" w:lineRule="exact"/>
        <w:rPr>
          <w:rFonts w:ascii="Times New Roman" w:cs="Times New Roman" w:eastAsia="Times New Roman" w:hAnsi="Times New Roman"/>
          <w:sz w:val="22"/>
          <w:szCs w:val="22"/>
          <w:color w:val="auto"/>
        </w:rPr>
      </w:pPr>
    </w:p>
    <w:p>
      <w:pPr>
        <w:jc w:val="both"/>
        <w:ind w:firstLine="2600"/>
        <w:spacing w:after="0" w:line="253" w:lineRule="auto"/>
        <w:tabs>
          <w:tab w:leader="none" w:pos="313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xml:space="preserve">, any adjustment to the Estimated Closing Payment (if is a positive number) payable to Seller, net of applicable Taxes in accordance with </w:t>
      </w:r>
      <w:r>
        <w:rPr>
          <w:rFonts w:ascii="Times New Roman" w:cs="Times New Roman" w:eastAsia="Times New Roman" w:hAnsi="Times New Roman"/>
          <w:sz w:val="22"/>
          <w:szCs w:val="22"/>
          <w:u w:val="single" w:color="auto"/>
          <w:color w:val="auto"/>
        </w:rPr>
        <w:t>Section 5.10(f)</w:t>
      </w:r>
      <w:r>
        <w:rPr>
          <w:rFonts w:ascii="Times New Roman" w:cs="Times New Roman" w:eastAsia="Times New Roman" w:hAnsi="Times New Roman"/>
          <w:sz w:val="22"/>
          <w:szCs w:val="22"/>
          <w:color w:val="auto"/>
        </w:rPr>
        <w:t xml:space="preserve">, shall be paid promptly, but in no event later than the payment date of the Second Installment Payment (as set forth below), following the Determination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adjustment to the Estimated Closing Payment is a negative number, then subject to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Seller shall pay such amount to Purchaser promptly, but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event later than the payment date of the Second Installment Payment (as set forth below), following the Determination Date;</w:t>
      </w:r>
    </w:p>
    <w:p>
      <w:pPr>
        <w:spacing w:after="0" w:line="220" w:lineRule="exact"/>
        <w:rPr>
          <w:sz w:val="20"/>
          <w:szCs w:val="20"/>
          <w:color w:val="auto"/>
        </w:rPr>
      </w:pPr>
    </w:p>
    <w:p>
      <w:pPr>
        <w:jc w:val="both"/>
        <w:ind w:firstLine="2600"/>
        <w:spacing w:after="0" w:line="272" w:lineRule="auto"/>
        <w:tabs>
          <w:tab w:leader="none" w:pos="3159"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US$218,400,000 (the “</w:t>
      </w:r>
      <w:r>
        <w:rPr>
          <w:rFonts w:ascii="Times New Roman" w:cs="Times New Roman" w:eastAsia="Times New Roman" w:hAnsi="Times New Roman"/>
          <w:sz w:val="21"/>
          <w:szCs w:val="21"/>
          <w:u w:val="single" w:color="auto"/>
          <w:color w:val="auto"/>
        </w:rPr>
        <w:t>Second Installment Payment</w:t>
      </w:r>
      <w:r>
        <w:rPr>
          <w:rFonts w:ascii="Times New Roman" w:cs="Times New Roman" w:eastAsia="Times New Roman" w:hAnsi="Times New Roman"/>
          <w:sz w:val="21"/>
          <w:szCs w:val="21"/>
          <w:color w:val="auto"/>
        </w:rPr>
        <w:t xml:space="preserve">”), net of applicable Taxes in accordance with </w:t>
      </w:r>
      <w:r>
        <w:rPr>
          <w:rFonts w:ascii="Times New Roman" w:cs="Times New Roman" w:eastAsia="Times New Roman" w:hAnsi="Times New Roman"/>
          <w:sz w:val="21"/>
          <w:szCs w:val="21"/>
          <w:u w:val="single" w:color="auto"/>
          <w:color w:val="auto"/>
        </w:rPr>
        <w:t>Section 5.10(f)</w:t>
      </w:r>
      <w:r>
        <w:rPr>
          <w:rFonts w:ascii="Times New Roman" w:cs="Times New Roman" w:eastAsia="Times New Roman" w:hAnsi="Times New Roman"/>
          <w:sz w:val="21"/>
          <w:szCs w:val="21"/>
          <w:color w:val="auto"/>
        </w:rPr>
        <w:t xml:space="preserve"> and, to the extent any, the Controller Working Capital Amount (or the Adjusted Controller Working Capital Amount, as applicable) in accordance with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shall be paid promptly, but in no event later than three (3) Business Days, following the earlier to occur of (x) the date six (6) months following the Closing Date and (y) January 1, 2025;</w:t>
      </w:r>
    </w:p>
    <w:p>
      <w:pPr>
        <w:spacing w:after="0" w:line="160" w:lineRule="exact"/>
        <w:rPr>
          <w:rFonts w:ascii="Times New Roman" w:cs="Times New Roman" w:eastAsia="Times New Roman" w:hAnsi="Times New Roman"/>
          <w:sz w:val="21"/>
          <w:szCs w:val="21"/>
          <w:color w:val="auto"/>
        </w:rPr>
      </w:pPr>
    </w:p>
    <w:p>
      <w:pPr>
        <w:ind w:right="20" w:firstLine="2600"/>
        <w:spacing w:after="0" w:line="271" w:lineRule="auto"/>
        <w:tabs>
          <w:tab w:leader="none" w:pos="315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Deferred Payment, net of applicable Taxes in accordance with </w:t>
      </w:r>
      <w:r>
        <w:rPr>
          <w:rFonts w:ascii="Times New Roman" w:cs="Times New Roman" w:eastAsia="Times New Roman" w:hAnsi="Times New Roman"/>
          <w:sz w:val="22"/>
          <w:szCs w:val="22"/>
          <w:u w:val="single" w:color="auto"/>
          <w:color w:val="auto"/>
        </w:rPr>
        <w:t>Section 5.10(f)</w:t>
      </w:r>
      <w:r>
        <w:rPr>
          <w:rFonts w:ascii="Times New Roman" w:cs="Times New Roman" w:eastAsia="Times New Roman" w:hAnsi="Times New Roman"/>
          <w:sz w:val="22"/>
          <w:szCs w:val="22"/>
          <w:color w:val="auto"/>
        </w:rPr>
        <w:t>, shall be paid promptly, but in no event later than three (3) Business Days, following the applicable Deferred Payment Date; and</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3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Purchaser fails to pay any amount payable under the preceding clauses, Purchaser shall pay Seller interest thereon at the rate of 1% above SOFR for the relevant days compounding annually, accruing daily from the payment due date under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(i.e., after expiration of such five (5) or three (3) Business Days, as applicable, as provided for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with respect to such payment) and continuing until such amount, together with the interest payable thereon, has been paid in full.</w:t>
      </w:r>
    </w:p>
    <w:p>
      <w:pPr>
        <w:spacing w:after="0" w:line="178" w:lineRule="exact"/>
        <w:rPr>
          <w:rFonts w:ascii="Times New Roman" w:cs="Times New Roman" w:eastAsia="Times New Roman" w:hAnsi="Times New Roman"/>
          <w:sz w:val="22"/>
          <w:szCs w:val="22"/>
          <w:color w:val="auto"/>
        </w:rPr>
      </w:pPr>
    </w:p>
    <w:p>
      <w:pPr>
        <w:jc w:val="both"/>
        <w:ind w:firstLine="1952"/>
        <w:spacing w:after="0" w:line="235" w:lineRule="auto"/>
        <w:tabs>
          <w:tab w:leader="none" w:pos="241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the Estimated Closing Payment has not been paid as of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following the AMR Approval and/or (B) any adjustment to the Estimated Closing Payment payable to Seller, the Second Installment Payment or any Deferred Payment has not been paid as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Business Day following the date when such amount first becomes due pursuant to </w:t>
      </w:r>
      <w:r>
        <w:rPr>
          <w:rFonts w:ascii="Times New Roman" w:cs="Times New Roman" w:eastAsia="Times New Roman" w:hAnsi="Times New Roman"/>
          <w:sz w:val="22"/>
          <w:szCs w:val="22"/>
          <w:u w:val="single" w:color="auto"/>
          <w:color w:val="auto"/>
        </w:rPr>
        <w:t>Section 2.2(b)(ii)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2.2(b)(iii)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2.2(b)(iv)</w:t>
      </w:r>
      <w:r>
        <w:rPr>
          <w:rFonts w:ascii="Times New Roman" w:cs="Times New Roman" w:eastAsia="Times New Roman" w:hAnsi="Times New Roman"/>
          <w:sz w:val="22"/>
          <w:szCs w:val="22"/>
          <w:color w:val="auto"/>
        </w:rPr>
        <w:t xml:space="preserve">, as applicable, then, in each case, Seller shall have the right to, upon written notice to Purchaser, immediately thereafter enforce the applicable Letter of Guarantee for the outstanding unpaid amount of such payment according to the terms of such Letter of Guarantee. For the avoidance of doubt, the payments for which Seller is entitled to enforce against the Purchaser Guarantor under the applicable Letter of Guarantee shall not include any interest accrued on such payments;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Purchaser shall remain liable for any and all interest accrued and payable on such payments as provided for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notwithstanding Seller’s recovery of any such payments following enforcement of the applicable Letter of Guarantee.</w:t>
      </w:r>
    </w:p>
    <w:p>
      <w:pPr>
        <w:spacing w:after="0" w:line="19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Estimated Adjustments at Closing</w:t>
      </w:r>
    </w:p>
    <w:p>
      <w:pPr>
        <w:spacing w:after="0" w:line="220" w:lineRule="exact"/>
        <w:rPr>
          <w:sz w:val="20"/>
          <w:szCs w:val="20"/>
          <w:color w:val="auto"/>
        </w:rPr>
      </w:pPr>
    </w:p>
    <w:p>
      <w:pPr>
        <w:jc w:val="both"/>
        <w:ind w:firstLine="1952"/>
        <w:spacing w:after="0" w:line="263" w:lineRule="auto"/>
        <w:tabs>
          <w:tab w:leader="none" w:pos="246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five (5) Business Days before the Closing Date, Seller shall deliver to Purchaser a written notice setting forth Seller’s good faith estimates of the Actual Net Debt Amount, the Actual Working Capital Amount and the Actual Working Capital Adjustment Amount (such estimates, the “</w:t>
      </w:r>
      <w:r>
        <w:rPr>
          <w:rFonts w:ascii="Times New Roman" w:cs="Times New Roman" w:eastAsia="Times New Roman" w:hAnsi="Times New Roman"/>
          <w:sz w:val="22"/>
          <w:szCs w:val="22"/>
          <w:u w:val="single" w:color="auto"/>
          <w:color w:val="auto"/>
        </w:rPr>
        <w:t>Estimated Net Debt Amount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05" w:name="page106"/>
    <w:bookmarkEnd w:id="105"/>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Working Capital Amount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Estimated Working Capital Adjustment Amount</w:t>
      </w:r>
      <w:r>
        <w:rPr>
          <w:rFonts w:ascii="Times New Roman" w:cs="Times New Roman" w:eastAsia="Times New Roman" w:hAnsi="Times New Roman"/>
          <w:sz w:val="22"/>
          <w:szCs w:val="22"/>
          <w:color w:val="auto"/>
        </w:rPr>
        <w:t>”, respectively), together with reasonably detailed supporting information.</w:t>
      </w:r>
    </w:p>
    <w:p>
      <w:pPr>
        <w:spacing w:after="0" w:line="158" w:lineRule="exact"/>
        <w:rPr>
          <w:sz w:val="20"/>
          <w:szCs w:val="20"/>
          <w:color w:val="auto"/>
        </w:rPr>
      </w:pPr>
    </w:p>
    <w:p>
      <w:pPr>
        <w:ind w:firstLine="1952"/>
        <w:spacing w:after="0" w:line="284" w:lineRule="auto"/>
        <w:tabs>
          <w:tab w:leader="none" w:pos="24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Net Debt Amount, the Estimated Working Capital Amount and the Estimated Working Capital Adjustment Amount shall be used to calculate the Estimated Closing Payment.</w:t>
      </w:r>
    </w:p>
    <w:p>
      <w:pPr>
        <w:spacing w:after="0" w:line="144"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Post-Closing Adjustment</w:t>
      </w:r>
    </w:p>
    <w:p>
      <w:pPr>
        <w:spacing w:after="0" w:line="220" w:lineRule="exact"/>
        <w:rPr>
          <w:sz w:val="20"/>
          <w:szCs w:val="20"/>
          <w:color w:val="auto"/>
        </w:rPr>
      </w:pPr>
    </w:p>
    <w:p>
      <w:pPr>
        <w:ind w:firstLine="1952"/>
        <w:spacing w:after="0" w:line="271" w:lineRule="auto"/>
        <w:tabs>
          <w:tab w:leader="none" w:pos="256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Debt Adjustment</w:t>
      </w:r>
      <w:r>
        <w:rPr>
          <w:rFonts w:ascii="Times New Roman" w:cs="Times New Roman" w:eastAsia="Times New Roman" w:hAnsi="Times New Roman"/>
          <w:sz w:val="22"/>
          <w:szCs w:val="22"/>
          <w:color w:val="auto"/>
        </w:rPr>
        <w:t xml:space="preserve">. If 80% of the Actual Net Debt Amount (as finally determined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as applicable) is:</w:t>
      </w:r>
    </w:p>
    <w:p>
      <w:pPr>
        <w:spacing w:after="0" w:line="157" w:lineRule="exact"/>
        <w:rPr>
          <w:rFonts w:ascii="Times New Roman" w:cs="Times New Roman" w:eastAsia="Times New Roman" w:hAnsi="Times New Roman"/>
          <w:sz w:val="22"/>
          <w:szCs w:val="22"/>
          <w:color w:val="auto"/>
        </w:rPr>
      </w:pPr>
    </w:p>
    <w:p>
      <w:pPr>
        <w:jc w:val="both"/>
        <w:ind w:firstLine="2600"/>
        <w:spacing w:after="0" w:line="263" w:lineRule="auto"/>
        <w:tabs>
          <w:tab w:leader="none" w:pos="309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80% of the Estimated Net Debt Amount then, Purchaser shall promptly, but in no event later than the date of the Second Installment Payment, pay an amount equal to such difference to Seller and the Purchase Price shall be deemed increased accordingly; or</w:t>
      </w:r>
    </w:p>
    <w:p>
      <w:pPr>
        <w:spacing w:after="0" w:line="167" w:lineRule="exact"/>
        <w:rPr>
          <w:rFonts w:ascii="Times New Roman" w:cs="Times New Roman" w:eastAsia="Times New Roman" w:hAnsi="Times New Roman"/>
          <w:sz w:val="22"/>
          <w:szCs w:val="22"/>
          <w:color w:val="auto"/>
        </w:rPr>
      </w:pPr>
    </w:p>
    <w:p>
      <w:pPr>
        <w:jc w:val="both"/>
        <w:ind w:firstLine="2600"/>
        <w:spacing w:after="0" w:line="257" w:lineRule="auto"/>
        <w:tabs>
          <w:tab w:leader="none" w:pos="315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greater than 80% of the Estimated Net Debt Amount then, Seller shall promptly, but in no event later than the date of the Second Installment Payment pay an amount equal to such difference to Purchaser and the Purchase Price shall be deemed reduced accordingly.</w:t>
      </w:r>
    </w:p>
    <w:p>
      <w:pPr>
        <w:spacing w:after="0" w:line="172" w:lineRule="exact"/>
        <w:rPr>
          <w:rFonts w:ascii="Times New Roman" w:cs="Times New Roman" w:eastAsia="Times New Roman" w:hAnsi="Times New Roman"/>
          <w:sz w:val="22"/>
          <w:szCs w:val="22"/>
          <w:color w:val="auto"/>
        </w:rPr>
      </w:pPr>
    </w:p>
    <w:p>
      <w:pPr>
        <w:ind w:firstLine="1952"/>
        <w:spacing w:after="0" w:line="284" w:lineRule="auto"/>
        <w:tabs>
          <w:tab w:leader="none" w:pos="245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Working Capital Adjustment</w:t>
      </w:r>
      <w:r>
        <w:rPr>
          <w:rFonts w:ascii="Times New Roman" w:cs="Times New Roman" w:eastAsia="Times New Roman" w:hAnsi="Times New Roman"/>
          <w:sz w:val="22"/>
          <w:szCs w:val="22"/>
          <w:color w:val="auto"/>
        </w:rPr>
        <w:t xml:space="preserve">. If 80% of the Actual Working Capital Adjustment Amount (as finally determined pursuant to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as applicable) is:</w:t>
      </w:r>
    </w:p>
    <w:p>
      <w:pPr>
        <w:spacing w:after="0" w:line="143" w:lineRule="exact"/>
        <w:rPr>
          <w:rFonts w:ascii="Times New Roman" w:cs="Times New Roman" w:eastAsia="Times New Roman" w:hAnsi="Times New Roman"/>
          <w:sz w:val="22"/>
          <w:szCs w:val="22"/>
          <w:color w:val="auto"/>
        </w:rPr>
      </w:pPr>
    </w:p>
    <w:p>
      <w:pPr>
        <w:jc w:val="both"/>
        <w:ind w:firstLine="2600"/>
        <w:spacing w:after="0" w:line="257" w:lineRule="auto"/>
        <w:tabs>
          <w:tab w:leader="none" w:pos="317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80 % of the Estimated Working Capital Adjustment Amount then, Seller shall promptly, but in no event later than the date of the Second Installment Payment, pay an amount equal to such difference to Purchaser and the Purchase Price shall be deemed reduced accordingly; or</w:t>
      </w:r>
    </w:p>
    <w:p>
      <w:pPr>
        <w:spacing w:after="0" w:line="172" w:lineRule="exact"/>
        <w:rPr>
          <w:rFonts w:ascii="Times New Roman" w:cs="Times New Roman" w:eastAsia="Times New Roman" w:hAnsi="Times New Roman"/>
          <w:sz w:val="22"/>
          <w:szCs w:val="22"/>
          <w:color w:val="auto"/>
        </w:rPr>
      </w:pPr>
    </w:p>
    <w:p>
      <w:pPr>
        <w:jc w:val="both"/>
        <w:ind w:firstLine="2600"/>
        <w:spacing w:after="0" w:line="263" w:lineRule="auto"/>
        <w:tabs>
          <w:tab w:leader="none" w:pos="308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greater than 80% of the Estimated Working Capital Adjustment Amount then, Purchaser shall promptly, but in no event later than the date of the Second Installment Payment, pay an amount equal to such difference to Seller and the Purchase Price shall be deemed increased accordingly.</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47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if and to the extent that an item could be taken into account in one or more of the adjustments under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an adjustment will only be made once for that item.</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5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to the extent any payments to be made between the Parties pursuant to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are due at the same time, they shall be netted so that only one payment of the aggregate adjustments described herein will be payable by the relevant Party(ies).</w:t>
      </w:r>
    </w:p>
    <w:p>
      <w:pPr>
        <w:spacing w:after="0" w:line="167" w:lineRule="exact"/>
        <w:rPr>
          <w:rFonts w:ascii="Times New Roman" w:cs="Times New Roman" w:eastAsia="Times New Roman" w:hAnsi="Times New Roman"/>
          <w:sz w:val="22"/>
          <w:szCs w:val="22"/>
          <w:color w:val="auto"/>
        </w:rPr>
      </w:pPr>
    </w:p>
    <w:p>
      <w:pPr>
        <w:ind w:right="20" w:firstLine="1952"/>
        <w:spacing w:after="0" w:line="271" w:lineRule="auto"/>
        <w:tabs>
          <w:tab w:leader="none" w:pos="242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Purchaser and Seller acknowledges and agrees that the Purchase Price adjustment provisions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shall be the sole and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06" w:name="page107"/>
    <w:bookmarkEnd w:id="106"/>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remedy of Purchaser and Seller with respect to (i) determining whether or not any adjustment would be made to the Purchase Price pursuant to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(whether or not any such adjustment was, in fact, made), (ii) determining the amount of any such adjustment and/or (iii) any other claims relating to any of the components of the Purchase Price.</w:t>
      </w:r>
    </w:p>
    <w:p>
      <w:pPr>
        <w:spacing w:after="0" w:line="18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Completion Accounts</w:t>
      </w:r>
    </w:p>
    <w:p>
      <w:pPr>
        <w:spacing w:after="0" w:line="220" w:lineRule="exact"/>
        <w:rPr>
          <w:sz w:val="20"/>
          <w:szCs w:val="20"/>
          <w:color w:val="auto"/>
        </w:rPr>
      </w:pPr>
    </w:p>
    <w:p>
      <w:pPr>
        <w:jc w:val="both"/>
        <w:ind w:firstLine="1952"/>
        <w:spacing w:after="0" w:line="253" w:lineRule="auto"/>
        <w:tabs>
          <w:tab w:leader="none" w:pos="244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but in any event within sixty (60) calendar days after the Closing Date, Purchaser shall prepare and deliver to Seller a balance sheet of the Company as of 12:01 a.m. Beijing time on the Closing Date, together with Purchaser’s calculations of the Actual Net Debt Amount, the Actual Working Capital Amount and the Actual Working Capital Adjustment Amount, in each case, which shall be prepared and calculated in accordance with the Accounting Principles (such deliverable, the “</w:t>
      </w:r>
      <w:r>
        <w:rPr>
          <w:rFonts w:ascii="Times New Roman" w:cs="Times New Roman" w:eastAsia="Times New Roman" w:hAnsi="Times New Roman"/>
          <w:sz w:val="22"/>
          <w:szCs w:val="22"/>
          <w:u w:val="single" w:color="auto"/>
          <w:color w:val="auto"/>
        </w:rPr>
        <w:t>Completion Accounts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delivery of the Completion Accounts, Purchaser shall ensure that all information and assistance reasonably requested by Seller is given to Seller to review Purchaser’s draft Completion Accounts and shall permit Representatives of Seller to have reasonable access to the books, records and other materials of the Company and the facilities and personnel of the Company, and working papers prepared by or for Purchaser and the Company, and take extracts from, or make copies of, the records, for the sole purposes of reviewing Purchaser’s draft Completion Accounts. If Purchaser breaches its obligations under this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the dispute period set forth in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shall automatically be extended until such breach is cured by the breaching Party.</w:t>
      </w:r>
    </w:p>
    <w:p>
      <w:pPr>
        <w:spacing w:after="0" w:line="180"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Seller does not dispute the draft Completion Accounts within twenty (20) Business Days after the date on which Seller receives Purchaser’s draft Completion Accounts pursuant to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Final Objection Date</w:t>
      </w:r>
      <w:r>
        <w:rPr>
          <w:rFonts w:ascii="Times New Roman" w:cs="Times New Roman" w:eastAsia="Times New Roman" w:hAnsi="Times New Roman"/>
          <w:sz w:val="22"/>
          <w:szCs w:val="22"/>
          <w:color w:val="auto"/>
        </w:rPr>
        <w:t>”), Purchaser’s draft Completion Accounts will be deemed to be the final Completion Accounts and the Actual Net Debt Amount, the Actual Working Capital Amount and the Actual Working Capital Adjustment Amount set forth therein will be final and binding on the Parties.</w:t>
      </w:r>
    </w:p>
    <w:p>
      <w:pPr>
        <w:spacing w:after="0" w:line="17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Seller provides Purchaser with written notice of dispute with respect to any aspect of Purchaser’s draft Completion Accounts prior to the Final Objection Date (a “</w:t>
      </w:r>
      <w:r>
        <w:rPr>
          <w:rFonts w:ascii="Times New Roman" w:cs="Times New Roman" w:eastAsia="Times New Roman" w:hAnsi="Times New Roman"/>
          <w:sz w:val="22"/>
          <w:szCs w:val="22"/>
          <w:u w:val="single" w:color="auto"/>
          <w:color w:val="auto"/>
        </w:rPr>
        <w:t>Dispute Notice</w:t>
      </w:r>
      <w:r>
        <w:rPr>
          <w:rFonts w:ascii="Times New Roman" w:cs="Times New Roman" w:eastAsia="Times New Roman" w:hAnsi="Times New Roman"/>
          <w:sz w:val="22"/>
          <w:szCs w:val="22"/>
          <w:color w:val="auto"/>
        </w:rPr>
        <w:t>”), setting forth in reasonable detail each item so disputed (all such items, the “</w:t>
      </w:r>
      <w:r>
        <w:rPr>
          <w:rFonts w:ascii="Times New Roman" w:cs="Times New Roman" w:eastAsia="Times New Roman" w:hAnsi="Times New Roman"/>
          <w:sz w:val="22"/>
          <w:szCs w:val="22"/>
          <w:u w:val="single" w:color="auto"/>
          <w:color w:val="auto"/>
        </w:rPr>
        <w:t>Disputed Matters</w:t>
      </w:r>
      <w:r>
        <w:rPr>
          <w:rFonts w:ascii="Times New Roman" w:cs="Times New Roman" w:eastAsia="Times New Roman" w:hAnsi="Times New Roman"/>
          <w:sz w:val="22"/>
          <w:szCs w:val="22"/>
          <w:color w:val="auto"/>
        </w:rPr>
        <w:t xml:space="preserve">”), then such Disputed Matters will be resolved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Any item or matter that is not a Disputed Matter shall become final and binding, unless the resolution of any item or matter objected to in the Dispute Notice affects any such aspect, or presupposes the inaccuracy of any such aspect, in which case such aspect shall, notwithstanding the failure to specifically dispute such aspect in the Dispute Notice, be considered disputed in the Dispute Notice.</w:t>
      </w:r>
    </w:p>
    <w:p>
      <w:pPr>
        <w:spacing w:after="0" w:line="180"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Dispute Resolution Procedure</w:t>
      </w:r>
    </w:p>
    <w:p>
      <w:pPr>
        <w:spacing w:after="0" w:line="220" w:lineRule="exact"/>
        <w:rPr>
          <w:sz w:val="20"/>
          <w:szCs w:val="20"/>
          <w:color w:val="auto"/>
        </w:rPr>
      </w:pPr>
    </w:p>
    <w:p>
      <w:pPr>
        <w:ind w:firstLine="1952"/>
        <w:spacing w:after="0" w:line="284" w:lineRule="auto"/>
        <w:tabs>
          <w:tab w:leader="none" w:pos="246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Seller delivers to Purchaser a Dispute Notice pursuant to </w:t>
      </w:r>
      <w:r>
        <w:rPr>
          <w:rFonts w:ascii="Times New Roman" w:cs="Times New Roman" w:eastAsia="Times New Roman" w:hAnsi="Times New Roman"/>
          <w:sz w:val="22"/>
          <w:szCs w:val="22"/>
          <w:u w:val="single" w:color="auto"/>
          <w:color w:val="auto"/>
        </w:rPr>
        <w:t>Section 2.5(d)</w:t>
      </w:r>
      <w:r>
        <w:rPr>
          <w:rFonts w:ascii="Times New Roman" w:cs="Times New Roman" w:eastAsia="Times New Roman" w:hAnsi="Times New Roman"/>
          <w:sz w:val="22"/>
          <w:szCs w:val="22"/>
          <w:color w:val="auto"/>
        </w:rPr>
        <w:t>, then within fifteen (15) Business Days of such delivery, Purchaser shall deliver to Seller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07" w:name="page108"/>
    <w:bookmarkEnd w:id="107"/>
    <w:p>
      <w:pPr>
        <w:ind w:right="20"/>
        <w:spacing w:after="0" w:line="271" w:lineRule="auto"/>
        <w:rPr>
          <w:sz w:val="20"/>
          <w:szCs w:val="20"/>
          <w:color w:val="auto"/>
        </w:rPr>
      </w:pPr>
      <w:r>
        <w:rPr>
          <w:rFonts w:ascii="Times New Roman" w:cs="Times New Roman" w:eastAsia="Times New Roman" w:hAnsi="Times New Roman"/>
          <w:sz w:val="22"/>
          <w:szCs w:val="22"/>
          <w:color w:val="auto"/>
        </w:rPr>
        <w:t>written response with respect to each Disputed Matter (the “</w:t>
      </w:r>
      <w:r>
        <w:rPr>
          <w:rFonts w:ascii="Times New Roman" w:cs="Times New Roman" w:eastAsia="Times New Roman" w:hAnsi="Times New Roman"/>
          <w:sz w:val="22"/>
          <w:szCs w:val="22"/>
          <w:u w:val="single" w:color="auto"/>
          <w:color w:val="auto"/>
        </w:rPr>
        <w:t>Response</w:t>
      </w:r>
      <w:r>
        <w:rPr>
          <w:rFonts w:ascii="Times New Roman" w:cs="Times New Roman" w:eastAsia="Times New Roman" w:hAnsi="Times New Roman"/>
          <w:sz w:val="22"/>
          <w:szCs w:val="22"/>
          <w:color w:val="auto"/>
        </w:rPr>
        <w:t>”). Upon Seller’s receipt of the Response, the Parties shall work together in good faith to resolve all Disputed Matters.</w:t>
      </w:r>
    </w:p>
    <w:p>
      <w:pPr>
        <w:spacing w:after="0" w:line="158" w:lineRule="exact"/>
        <w:rPr>
          <w:sz w:val="20"/>
          <w:szCs w:val="20"/>
          <w:color w:val="auto"/>
        </w:rPr>
      </w:pPr>
    </w:p>
    <w:p>
      <w:pPr>
        <w:jc w:val="both"/>
        <w:ind w:firstLine="1952"/>
        <w:spacing w:after="0" w:line="263" w:lineRule="auto"/>
        <w:tabs>
          <w:tab w:leader="none" w:pos="251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Seller and Purchaser have not resolved the Disputed Matters within ten (10) Business Days of Purchaser’s delivery of the Response to Seller (or such longer period as mutually agreed by Seller and Purchaser), the Disputed Matters shall promptly be submitted for resolution to an Independent Accountant.</w:t>
      </w:r>
    </w:p>
    <w:p>
      <w:pPr>
        <w:spacing w:after="0" w:line="167"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4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Independent Accountant</w:t>
      </w:r>
      <w:r>
        <w:rPr>
          <w:rFonts w:ascii="Times New Roman" w:cs="Times New Roman" w:eastAsia="Times New Roman" w:hAnsi="Times New Roman"/>
          <w:sz w:val="22"/>
          <w:szCs w:val="22"/>
          <w:color w:val="auto"/>
        </w:rPr>
        <w:t xml:space="preserve">” shall be an accounting firm of international repute and standing mutually agreed upon by Seller and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if Seller and Purchaser are unable to jointly select such independent accounting firm within ten (10) Business Days after Seller delivers a Dispute Notice to Purchaser, Seller, on the one hand, and Purchaser, on the other hand, will each select an accounting firm of international repute and standing, and such accounting firms will agree a third accounting firm of international repute and standing. In the event that no accounting firm has been designated as the Independent Accountant within twenty (20) Business Days after Seller delivers a Dispute Notice to Purchaser, then either Party may apply to the Council of the HKIAC to appoint an accounting firm of international repute and standing to act as the Independent Accountant, which firm shall not be the regular auditing firm for any of the Parties or the Company.</w:t>
      </w:r>
    </w:p>
    <w:p>
      <w:pPr>
        <w:spacing w:after="0" w:line="19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5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Disputed Matters shall be referred to the Independent Accountant by written submission which shall include Purchaser’s draft Completion Accounts, the Dispute Notice, the Response and an extract of the relevant provisions of this Agreement. The Independent Accountant shall be instructed to finish its determination no later than ten (10) Business Days after its appointment (or such other period as agreed in writing by Purchaser and Seller). The Parties shall promptly supply the Independent Accountant with any information, assistance and cooperation requested by the Independent Accountant in connection with its determination. All correspondence between the Independent Accountant and any Party must be copied to the other Party.</w:t>
      </w:r>
    </w:p>
    <w:p>
      <w:pPr>
        <w:spacing w:after="0" w:line="180" w:lineRule="exact"/>
        <w:rPr>
          <w:rFonts w:ascii="Times New Roman" w:cs="Times New Roman" w:eastAsia="Times New Roman" w:hAnsi="Times New Roman"/>
          <w:sz w:val="22"/>
          <w:szCs w:val="22"/>
          <w:color w:val="auto"/>
        </w:rPr>
      </w:pPr>
    </w:p>
    <w:p>
      <w:pPr>
        <w:jc w:val="both"/>
        <w:ind w:firstLine="1952"/>
        <w:spacing w:after="0" w:line="248" w:lineRule="auto"/>
        <w:tabs>
          <w:tab w:leader="none" w:pos="261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Independent Accountant shall (i) act as an expert and not as an arbitrator, (ii) base its determination on the written submissions of the Parties and shall not conduct an independent investigation; and (iii) be instructed by Purchaser and Seller to resolve any Disputed Matters by determining in favor of either (A) Purchaser for its calculation thereof as set forth in the Completion Accounts or the Response, as applicable, or (B) Seller for its calculation thereof as set forth in the Dispute Notice, and in each case the resulting calculations of the Actual Net Debt Amount, the Actual Working Capital Amount and the Actual Working Capital Adjustment Amount, and the Party whose calculation that is numerically closer to the result in accordance with the Accounting Principles shall prevail. The Independent Accountant’s written determination in respect of the Disputed Matters shall be final and binding on the Parties in the absence of manifest error, and the Completion Accounts, together with the Actual Net Debt Amount, the Actual Working Capital Amount and the Actual Working Capital Adjustment Amount, shall be deemed to be amended in accordance with the Independent Accountant’s determination, and as so amended, shall be deemed to be final and binding on the Parties for all purposes hereunder. Each of Purchaser and Seller agrees that it shall not have any right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08" w:name="page109"/>
    <w:bookmarkEnd w:id="108"/>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shall not, institute any Action of any kind challenging such determination by the Independent Accountant, except that the foregoing shall not preclude an Action to enforce such determination or to challenge the Independent Accountant’s determination on the ground that such determination is inconsistent with the terms of this Agreement.</w:t>
      </w:r>
    </w:p>
    <w:p>
      <w:pPr>
        <w:spacing w:after="0" w:line="186" w:lineRule="exact"/>
        <w:rPr>
          <w:sz w:val="20"/>
          <w:szCs w:val="20"/>
          <w:color w:val="auto"/>
        </w:rPr>
      </w:pPr>
    </w:p>
    <w:p>
      <w:pPr>
        <w:jc w:val="both"/>
        <w:ind w:firstLine="1952"/>
        <w:spacing w:after="0" w:line="250" w:lineRule="auto"/>
        <w:tabs>
          <w:tab w:leader="none" w:pos="249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costs and expenses of the Independent Accountant shall be borne by the losing Party of the Disputed Matters, taking into account the netted amount of all Disputed Matters as determined by the Independent Accountant pursuant to </w:t>
      </w:r>
      <w:r>
        <w:rPr>
          <w:rFonts w:ascii="Times New Roman" w:cs="Times New Roman" w:eastAsia="Times New Roman" w:hAnsi="Times New Roman"/>
          <w:sz w:val="22"/>
          <w:szCs w:val="22"/>
          <w:u w:val="single" w:color="auto"/>
          <w:color w:val="auto"/>
        </w:rPr>
        <w:t>Section 2.6(e)(iii)</w:t>
      </w:r>
      <w:r>
        <w:rPr>
          <w:rFonts w:ascii="Times New Roman" w:cs="Times New Roman" w:eastAsia="Times New Roman" w:hAnsi="Times New Roman"/>
          <w:sz w:val="22"/>
          <w:szCs w:val="22"/>
          <w:color w:val="auto"/>
        </w:rPr>
        <w:t xml:space="preserve"> above; provided, however, that if requested by the Independent Accountant, the Parties shall initially share such costs and expenses on an equal basis, with the losing Party fully reimbursing the other Party for such initial costs and expenses incurred by such Party upon final resolution of the Disputed Matter.</w:t>
      </w:r>
    </w:p>
    <w:p>
      <w:pPr>
        <w:spacing w:after="0" w:line="194"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Deferred Payments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additional consideration for the Purchased Interest, Purchaser shall pay to Seller an amount equal to US$187,200,000, in the aggregate, in the form of five (5) equal deferred payments each in the sum of US$37,440,000 (each such payment, a “</w:t>
      </w:r>
      <w:r>
        <w:rPr>
          <w:rFonts w:ascii="Times New Roman" w:cs="Times New Roman" w:eastAsia="Times New Roman" w:hAnsi="Times New Roman"/>
          <w:sz w:val="22"/>
          <w:szCs w:val="22"/>
          <w:u w:val="single" w:color="auto"/>
          <w:color w:val="auto"/>
        </w:rPr>
        <w:t>Deferred Payment</w:t>
      </w:r>
      <w:r>
        <w:rPr>
          <w:rFonts w:ascii="Times New Roman" w:cs="Times New Roman" w:eastAsia="Times New Roman" w:hAnsi="Times New Roman"/>
          <w:sz w:val="22"/>
          <w:szCs w:val="22"/>
          <w:color w:val="auto"/>
        </w:rPr>
        <w:t>”) to be paid upon each twelve (12) month anniversary of the Closing Date (each, a “</w:t>
      </w:r>
      <w:r>
        <w:rPr>
          <w:rFonts w:ascii="Times New Roman" w:cs="Times New Roman" w:eastAsia="Times New Roman" w:hAnsi="Times New Roman"/>
          <w:sz w:val="22"/>
          <w:szCs w:val="22"/>
          <w:u w:val="single" w:color="auto"/>
          <w:color w:val="auto"/>
        </w:rPr>
        <w:t>Deferred Payment Date</w:t>
      </w:r>
      <w:r>
        <w:rPr>
          <w:rFonts w:ascii="Times New Roman" w:cs="Times New Roman" w:eastAsia="Times New Roman" w:hAnsi="Times New Roman"/>
          <w:sz w:val="22"/>
          <w:szCs w:val="22"/>
          <w:color w:val="auto"/>
        </w:rPr>
        <w:t>”) for the five (5) annual periods immediately following the Closing.</w:t>
      </w:r>
    </w:p>
    <w:p>
      <w:pPr>
        <w:spacing w:after="0" w:line="179"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2.8</w:t>
      </w:r>
      <w:r>
        <w:rPr>
          <w:sz w:val="20"/>
          <w:szCs w:val="20"/>
          <w:color w:val="auto"/>
        </w:rPr>
        <w:tab/>
      </w:r>
      <w:r>
        <w:rPr>
          <w:rFonts w:ascii="Times New Roman" w:cs="Times New Roman" w:eastAsia="Times New Roman" w:hAnsi="Times New Roman"/>
          <w:sz w:val="21"/>
          <w:szCs w:val="21"/>
          <w:u w:val="single" w:color="auto"/>
          <w:color w:val="auto"/>
        </w:rPr>
        <w:t>Closing</w:t>
      </w:r>
    </w:p>
    <w:p>
      <w:pPr>
        <w:spacing w:after="0" w:line="233" w:lineRule="exact"/>
        <w:rPr>
          <w:sz w:val="20"/>
          <w:szCs w:val="20"/>
          <w:color w:val="auto"/>
        </w:rPr>
      </w:pPr>
    </w:p>
    <w:p>
      <w:pPr>
        <w:ind w:left="2500" w:hanging="548"/>
        <w:spacing w:after="0"/>
        <w:tabs>
          <w:tab w:leader="none" w:pos="2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purchase and sale of the Purchased Interest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w:t>
      </w:r>
    </w:p>
    <w:p>
      <w:pPr>
        <w:spacing w:after="0" w:line="27" w:lineRule="exact"/>
        <w:rPr>
          <w:rFonts w:ascii="Times New Roman" w:cs="Times New Roman" w:eastAsia="Times New Roman" w:hAnsi="Times New Roman"/>
          <w:sz w:val="22"/>
          <w:szCs w:val="22"/>
          <w:color w:val="auto"/>
        </w:rPr>
      </w:pPr>
    </w:p>
    <w:p>
      <w:pPr>
        <w:jc w:val="both"/>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place: (i) at the offices of O’Melveny &amp; Myers LLP, JC Plaza, 12th Floor, 1225 Nanjing Road West, Shanghai 200040, the People’s Republic of China at 10:00 a.m., Beijing time, on the later of July 1, 2024 and the third (3rd) Business Day following the date on which the last of the conditions required to be satisfied or waived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is either satisfied or waived (other than those conditions that by their nature are to be satisfied at the Closing); or (ii) at such other place, time or date as Purchaser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Seller may agree upon in writing. The date on which the Closing occurs is referred to herein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u w:val="single" w:color="auto"/>
          <w:color w:val="auto"/>
        </w:rPr>
        <w:t>Deliveries by Seller</w:t>
      </w:r>
    </w:p>
    <w:p>
      <w:pPr>
        <w:spacing w:after="0" w:line="220" w:lineRule="exact"/>
        <w:rPr>
          <w:sz w:val="20"/>
          <w:szCs w:val="20"/>
          <w:color w:val="auto"/>
        </w:rPr>
      </w:pPr>
    </w:p>
    <w:p>
      <w:pPr>
        <w:jc w:val="both"/>
        <w:ind w:firstLine="1952"/>
        <w:spacing w:after="0" w:line="263" w:lineRule="auto"/>
        <w:tabs>
          <w:tab w:leader="none" w:pos="245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Deliveries by Seller</w:t>
      </w:r>
      <w:r>
        <w:rPr>
          <w:rFonts w:ascii="Times New Roman" w:cs="Times New Roman" w:eastAsia="Times New Roman" w:hAnsi="Times New Roman"/>
          <w:sz w:val="22"/>
          <w:szCs w:val="22"/>
          <w:color w:val="auto"/>
        </w:rPr>
        <w:t>. No later than one (1) Business Day prior to the date on which the Company submits the application for the AMR Approval, Seller shall deliver or cause to be delivered to Purchaser each of the following:</w:t>
      </w:r>
    </w:p>
    <w:p>
      <w:pPr>
        <w:spacing w:after="0" w:line="167"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each of the Ancillary Agreements, duly executed by an authorized signatory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Seller and/or its Affiliates;</w:t>
      </w:r>
    </w:p>
    <w:p>
      <w:pPr>
        <w:spacing w:after="0" w:line="195" w:lineRule="exact"/>
        <w:rPr>
          <w:rFonts w:ascii="Times New Roman" w:cs="Times New Roman" w:eastAsia="Times New Roman" w:hAnsi="Times New Roman"/>
          <w:sz w:val="22"/>
          <w:szCs w:val="22"/>
          <w:color w:val="auto"/>
        </w:rPr>
      </w:pPr>
    </w:p>
    <w:p>
      <w:pPr>
        <w:ind w:right="20" w:firstLine="2600"/>
        <w:spacing w:after="0" w:line="284" w:lineRule="auto"/>
        <w:tabs>
          <w:tab w:leader="none" w:pos="324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Seller has been authorized to execute this Agreement and each Ancillary Agreement to which it is a party and to enter into the transactions contemplated hereunder and thereunder; and</w:t>
      </w:r>
    </w:p>
    <w:p>
      <w:pPr>
        <w:spacing w:after="0" w:line="143"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6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signed letters of resignation of the following Persons from the applicable position(s) of the Company, effective as of the AMR Approval: (i) Bock Kim Lee as Director, Chairman and Legal Representative, (ii) Terry (Hairong) Yao as Director, and (iii) Lucy (Yinye) Shu as Director and duly signed letters of nomination of Persons to be nominated by Seller to the application position(s) of the Company pursuant to the Shareholders Agreement and the Amended and Restated Articles of Association.</w:t>
      </w:r>
    </w:p>
    <w:p>
      <w:pPr>
        <w:spacing w:after="0" w:line="194"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Deliveries by Seller</w:t>
      </w:r>
      <w:r>
        <w:rPr>
          <w:rFonts w:ascii="Times New Roman" w:cs="Times New Roman" w:eastAsia="Times New Roman" w:hAnsi="Times New Roman"/>
          <w:sz w:val="22"/>
          <w:szCs w:val="22"/>
          <w:color w:val="auto"/>
        </w:rPr>
        <w:t>. At the Closing, Seller shall deliver or cause to be delivered to</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w:t>
      </w:r>
    </w:p>
    <w:p>
      <w:pPr>
        <w:spacing w:after="0" w:line="195" w:lineRule="exact"/>
        <w:rPr>
          <w:rFonts w:ascii="Times New Roman" w:cs="Times New Roman" w:eastAsia="Times New Roman" w:hAnsi="Times New Roman"/>
          <w:sz w:val="22"/>
          <w:szCs w:val="22"/>
          <w:color w:val="auto"/>
        </w:rPr>
      </w:pPr>
    </w:p>
    <w:p>
      <w:pPr>
        <w:ind w:firstLine="2600"/>
        <w:spacing w:after="0" w:line="271" w:lineRule="auto"/>
        <w:tabs>
          <w:tab w:leader="none" w:pos="306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updated register of shareholders of the Company, certified true, accurate and complete by an officer of the Company, reflecting Purchaser as the owner of an 80% equity interest in the Company;</w:t>
      </w:r>
    </w:p>
    <w:p>
      <w:pPr>
        <w:spacing w:after="0" w:line="157"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revised business license of the Company issued by SAMR, and the company chop of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07" w:lineRule="exact"/>
        <w:rPr>
          <w:rFonts w:ascii="Times New Roman" w:cs="Times New Roman" w:eastAsia="Times New Roman" w:hAnsi="Times New Roman"/>
          <w:sz w:val="22"/>
          <w:szCs w:val="22"/>
          <w:color w:val="auto"/>
        </w:rPr>
      </w:pPr>
    </w:p>
    <w:p>
      <w:pPr>
        <w:ind w:firstLine="2600"/>
        <w:spacing w:after="0" w:line="271" w:lineRule="auto"/>
        <w:tabs>
          <w:tab w:leader="none" w:pos="327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records, all accounting books and records, copies Tax returns filed and related correspondence (if any), and cryptographic keys of all bank accounts of the Company;</w:t>
      </w:r>
    </w:p>
    <w:p>
      <w:pPr>
        <w:spacing w:after="0" w:line="157" w:lineRule="exact"/>
        <w:rPr>
          <w:rFonts w:ascii="Times New Roman" w:cs="Times New Roman" w:eastAsia="Times New Roman" w:hAnsi="Times New Roman"/>
          <w:sz w:val="22"/>
          <w:szCs w:val="22"/>
          <w:color w:val="auto"/>
        </w:rPr>
      </w:pPr>
    </w:p>
    <w:p>
      <w:pPr>
        <w:ind w:left="3160" w:hanging="560"/>
        <w:spacing w:after="0"/>
        <w:tabs>
          <w:tab w:leader="none" w:pos="316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roster listing all employees of the Company as of the Closing Date, specifying their name,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employee ID and position; and</w:t>
      </w:r>
    </w:p>
    <w:p>
      <w:pPr>
        <w:spacing w:after="0" w:line="209" w:lineRule="exact"/>
        <w:rPr>
          <w:rFonts w:ascii="Times New Roman" w:cs="Times New Roman" w:eastAsia="Times New Roman" w:hAnsi="Times New Roman"/>
          <w:sz w:val="21"/>
          <w:szCs w:val="21"/>
          <w:color w:val="auto"/>
        </w:rPr>
      </w:pPr>
    </w:p>
    <w:p>
      <w:pPr>
        <w:ind w:left="3060" w:hanging="460"/>
        <w:spacing w:after="0"/>
        <w:tabs>
          <w:tab w:leader="none" w:pos="306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electronic copy (USB) of the VDR as provided to Purchaser on the date hereof.</w:t>
      </w:r>
    </w:p>
    <w:p>
      <w:pPr>
        <w:spacing w:after="0" w:line="22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Deliveries by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10" w:name="page111"/>
    <w:bookmarkEnd w:id="110"/>
    <w:p>
      <w:pPr>
        <w:jc w:val="both"/>
        <w:ind w:firstLine="1952"/>
        <w:spacing w:after="0" w:line="257" w:lineRule="auto"/>
        <w:tabs>
          <w:tab w:leader="none" w:pos="2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Deliveries by Purchaser</w:t>
      </w:r>
      <w:r>
        <w:rPr>
          <w:rFonts w:ascii="Times New Roman" w:cs="Times New Roman" w:eastAsia="Times New Roman" w:hAnsi="Times New Roman"/>
          <w:sz w:val="22"/>
          <w:szCs w:val="22"/>
          <w:color w:val="auto"/>
        </w:rPr>
        <w:t>. No later than one (1) Business Day prior to the date on which the Company submits the application for the AMR Approval, Purchaser shall deliver or cause to be delivered to Seller each of the following:</w:t>
      </w:r>
    </w:p>
    <w:p>
      <w:pPr>
        <w:spacing w:after="0" w:line="186"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each of the Ancillary Agreements, duly executed by an authorized signatory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Purchaser and/or its Affiliates;</w:t>
      </w:r>
    </w:p>
    <w:p>
      <w:pPr>
        <w:spacing w:after="0" w:line="195"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Letters of Guarantee, duly issued by the Purchaser Guarantor in favor of Seller;</w:t>
      </w:r>
    </w:p>
    <w:p>
      <w:pPr>
        <w:spacing w:after="0" w:line="219" w:lineRule="exact"/>
        <w:rPr>
          <w:rFonts w:ascii="Times New Roman" w:cs="Times New Roman" w:eastAsia="Times New Roman" w:hAnsi="Times New Roman"/>
          <w:sz w:val="22"/>
          <w:szCs w:val="22"/>
          <w:color w:val="auto"/>
        </w:rPr>
      </w:pPr>
    </w:p>
    <w:p>
      <w:pPr>
        <w:ind w:firstLine="2600"/>
        <w:spacing w:after="0" w:line="295" w:lineRule="auto"/>
        <w:tabs>
          <w:tab w:leader="none" w:pos="315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signed letters of nomination of Persons to be nominated by Purchaser to the application position(s) of the Company pursuant to the Shareholders Agreement and the Amended and Restated Articles of Association; and</w:t>
      </w:r>
    </w:p>
    <w:p>
      <w:pPr>
        <w:spacing w:after="0" w:line="148" w:lineRule="exact"/>
        <w:rPr>
          <w:rFonts w:ascii="Times New Roman" w:cs="Times New Roman" w:eastAsia="Times New Roman" w:hAnsi="Times New Roman"/>
          <w:sz w:val="21"/>
          <w:szCs w:val="21"/>
          <w:color w:val="auto"/>
        </w:rPr>
      </w:pPr>
    </w:p>
    <w:p>
      <w:pPr>
        <w:ind w:firstLine="2600"/>
        <w:spacing w:after="0" w:line="271" w:lineRule="auto"/>
        <w:tabs>
          <w:tab w:leader="none" w:pos="319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Purchaser has been authorized to execute this Agreement and each Ancillary Agreement to which it is a party and to enter into the transactions contemplated hereunder and thereunder.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-29210</wp:posOffset>
            </wp:positionV>
            <wp:extent cx="34245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17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Except as qualified or supplemented by the Seller Disclosure Letter and the general disclosure as contemplated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Seller represents and warrants to Purchaser as follows:</w:t>
      </w:r>
    </w:p>
    <w:p>
      <w:pPr>
        <w:spacing w:after="0" w:line="171"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p>
    <w:p>
      <w:pPr>
        <w:spacing w:after="0" w:line="220" w:lineRule="exact"/>
        <w:rPr>
          <w:sz w:val="20"/>
          <w:szCs w:val="20"/>
          <w:color w:val="auto"/>
        </w:rPr>
      </w:pPr>
    </w:p>
    <w:p>
      <w:pPr>
        <w:ind w:firstLine="1952"/>
        <w:spacing w:after="0" w:line="271" w:lineRule="auto"/>
        <w:tabs>
          <w:tab w:leader="none" w:pos="244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duly formed, validly existing and in good standing (to the extent the applicable jurisdiction recognizes such concept) under the Laws of the Republic of Ireland.</w:t>
      </w:r>
    </w:p>
    <w:p>
      <w:pPr>
        <w:spacing w:after="0" w:line="15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1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duly qualified to do business and is in good standing (to the extent the applicable jurisdiction recognizes such concept) under the Laws of each jurisdiction in which the conduct of its business, or the character of the properties owned or leased by it, requires it to be so qualified, except where the failure to be so qualified or to be in good standing would not have a Seller Material Adverse Effect.</w:t>
      </w:r>
    </w:p>
    <w:p>
      <w:pPr>
        <w:spacing w:after="0" w:line="17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Authorization; Enforceability</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Seller has the requisite corporate or other similar power, as applicable, and has the authority to execute and deliver this Agreement and all agreements and documents contemplated hereby to be executed and delivered by it, and to consummate the transactions contemplated hereby and thereby. The execution and delivery of this Agreement and such other agreements and documents and the consummation of the transactions contemplated herein and therein have been duly and validly authorized by all requisite corporate, partnership or limited liability company or other similar action, as applicable on the part of Seller. This Agreement has been, and all agreements and documents contemplated hereby to be executed and delivered by it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11" w:name="page112"/>
    <w:bookmarkEnd w:id="111"/>
    <w:p>
      <w:pPr>
        <w:jc w:val="both"/>
        <w:spacing w:after="0" w:line="256" w:lineRule="auto"/>
        <w:rPr>
          <w:sz w:val="20"/>
          <w:szCs w:val="20"/>
          <w:color w:val="auto"/>
        </w:rPr>
      </w:pPr>
      <w:r>
        <w:rPr>
          <w:rFonts w:ascii="Times New Roman" w:cs="Times New Roman" w:eastAsia="Times New Roman" w:hAnsi="Times New Roman"/>
          <w:sz w:val="22"/>
          <w:szCs w:val="22"/>
          <w:color w:val="auto"/>
        </w:rPr>
        <w:t>be, duly and validly executed and delivered by Seller and, assuming the due authorization, execution and delivery by the parties hereto and thereto, shall upon such execution and delivery hereof and thereof be the legal, valid and binding obligations of Seller hereunder and thereunder, as applicable, enforceable against Seller in accordance with its terms, except as limited by the General Enforceability Exceptions.</w:t>
      </w:r>
    </w:p>
    <w:p>
      <w:pPr>
        <w:spacing w:after="0" w:line="17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p>
    <w:p>
      <w:pPr>
        <w:spacing w:after="0" w:line="220" w:lineRule="exact"/>
        <w:rPr>
          <w:sz w:val="20"/>
          <w:szCs w:val="20"/>
          <w:color w:val="auto"/>
        </w:rPr>
      </w:pPr>
    </w:p>
    <w:p>
      <w:pPr>
        <w:jc w:val="both"/>
        <w:ind w:firstLine="1952"/>
        <w:spacing w:after="0" w:line="249" w:lineRule="auto"/>
        <w:tabs>
          <w:tab w:leader="none" w:pos="260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execution and delivery of this Agreement by Seller, or the other agreements and documents contemplated hereby to be executed and delivered by Seller, nor the consummation by Seller of the transactions contemplated herein or therein, nor compliance by Seller with any of the provisions hereof or thereof, shall: (i) conflict with or result in a breach of any provisions of the Organizational Documents of Seller and the Company; (ii) constitute or result in any material breach of any term, condition or provision of, or constitute a default under, or give rise to any right of termination, cancellation or acceleration with respect to any Company Contract; (iii) result in the creation or imposition of a Lien (other than any Permitted Lien) upon any property or assets of the Company pursuant to any Company Contract; or (iv) subject to receipt by Seller of the requisite Consents described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of the Seller Disclosure Letter and by Purchaser of the approvals contemplated in </w:t>
      </w:r>
      <w:r>
        <w:rPr>
          <w:rFonts w:ascii="Times New Roman" w:cs="Times New Roman" w:eastAsia="Times New Roman" w:hAnsi="Times New Roman"/>
          <w:sz w:val="22"/>
          <w:szCs w:val="22"/>
          <w:u w:val="single" w:color="auto"/>
          <w:color w:val="auto"/>
        </w:rPr>
        <w:t>Section 4.3(b)</w:t>
      </w:r>
      <w:r>
        <w:rPr>
          <w:rFonts w:ascii="Times New Roman" w:cs="Times New Roman" w:eastAsia="Times New Roman" w:hAnsi="Times New Roman"/>
          <w:sz w:val="22"/>
          <w:szCs w:val="22"/>
          <w:color w:val="auto"/>
        </w:rPr>
        <w:t xml:space="preserve"> below, violate any Law or Order applicable to the Company and/or Seller or its properties or assets in any material respect.</w:t>
      </w:r>
    </w:p>
    <w:p>
      <w:pPr>
        <w:spacing w:after="0" w:line="18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Consent from any Governmental Authority material to the Company or its business is required to be obtained by Seller and/or the Company for the consummation by Seller of the transactions contemplated by this Agreement, except in connection, or in compliance, with the PRC Antitrust Clearance and other approvals from any Governmental Authorities required under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and as set forth in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of the Seller Disclosure Letter.</w:t>
      </w:r>
    </w:p>
    <w:p>
      <w:pPr>
        <w:spacing w:after="0" w:line="193"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Seller Litigation</w:t>
      </w:r>
    </w:p>
    <w:p>
      <w:pPr>
        <w:spacing w:after="0" w:line="220" w:lineRule="exact"/>
        <w:rPr>
          <w:sz w:val="20"/>
          <w:szCs w:val="20"/>
          <w:color w:val="auto"/>
        </w:rPr>
      </w:pPr>
    </w:p>
    <w:p>
      <w:pPr>
        <w:ind w:right="20" w:firstLine="1952"/>
        <w:spacing w:after="0" w:line="271" w:lineRule="auto"/>
        <w:tabs>
          <w:tab w:leader="none" w:pos="24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Action pending or, to the Knowledge of Seller, threatened, against Seller or any of its Affiliates by or before any Governmental Authority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determined in a manner adverse to Seller or any of its Affiliates, would have a Seller Material Adverse Effect.</w:t>
      </w:r>
    </w:p>
    <w:p>
      <w:pPr>
        <w:spacing w:after="0" w:line="220" w:lineRule="exact"/>
        <w:rPr>
          <w:sz w:val="20"/>
          <w:szCs w:val="20"/>
          <w:color w:val="auto"/>
        </w:rPr>
      </w:pPr>
    </w:p>
    <w:p>
      <w:pPr>
        <w:ind w:right="20" w:firstLine="1952"/>
        <w:spacing w:after="0" w:line="271" w:lineRule="auto"/>
        <w:tabs>
          <w:tab w:leader="none" w:pos="242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outstanding Order binding on or, to the Knowledge of Seller, threatened, against Seller or any of its Affiliates that would have a Seller Material Adverse Effect.</w:t>
      </w:r>
    </w:p>
    <w:p>
      <w:pPr>
        <w:spacing w:after="0" w:line="171"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u w:val="single" w:color="auto"/>
          <w:color w:val="auto"/>
        </w:rPr>
        <w:t>Ownership of Purchased Interest</w:t>
      </w:r>
    </w:p>
    <w:p>
      <w:pPr>
        <w:spacing w:after="0" w:line="220" w:lineRule="exact"/>
        <w:rPr>
          <w:sz w:val="20"/>
          <w:szCs w:val="20"/>
          <w:color w:val="auto"/>
        </w:rPr>
      </w:pPr>
    </w:p>
    <w:p>
      <w:pPr>
        <w:ind w:firstLine="1952"/>
        <w:spacing w:after="0" w:line="271" w:lineRule="auto"/>
        <w:tabs>
          <w:tab w:leader="none" w:pos="24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owns as of record and beneficially owns all of the Purchased Interest free and clear of all Liens, except for any restriction on transfer pursuant to applicable Laws.</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8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applicable Laws or the Organizational Documents of the Company, each of Seller and the Company is not party to any option, warrant, purchase right or subscription right, convertible security or other right Contract (other than this Agreement) that could (i) require Seller to sell, transfer or otherwise dispose of or acquire any equity interests of the Company; or (ii) require the Company to issue or distribute to holders of any equity interest of the Company, or authorize any third party to subscribe for any equity interest of the Company.</w:t>
      </w:r>
    </w:p>
    <w:p>
      <w:pPr>
        <w:spacing w:after="0" w:line="178" w:lineRule="exact"/>
        <w:rPr>
          <w:rFonts w:ascii="Times New Roman" w:cs="Times New Roman" w:eastAsia="Times New Roman" w:hAnsi="Times New Roman"/>
          <w:sz w:val="22"/>
          <w:szCs w:val="22"/>
          <w:color w:val="auto"/>
        </w:rPr>
      </w:pPr>
    </w:p>
    <w:p>
      <w:pPr>
        <w:ind w:firstLine="1952"/>
        <w:spacing w:after="0" w:line="271" w:lineRule="auto"/>
        <w:tabs>
          <w:tab w:leader="none" w:pos="240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voting trusts, proxies or another agreements or understandings with respect to the voting of equity interest of the Company, other than the Shareholders Agreement.</w:t>
      </w:r>
    </w:p>
    <w:p>
      <w:pPr>
        <w:spacing w:after="0" w:line="158"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p>
    <w:p>
      <w:pPr>
        <w:spacing w:after="0" w:line="233" w:lineRule="exact"/>
        <w:rPr>
          <w:sz w:val="20"/>
          <w:szCs w:val="20"/>
          <w:color w:val="auto"/>
        </w:rPr>
      </w:pPr>
    </w:p>
    <w:p>
      <w:pPr>
        <w:ind w:left="2480" w:hanging="528"/>
        <w:spacing w:after="0"/>
        <w:tabs>
          <w:tab w:leader="none" w:pos="24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limited liability company duly organized, validly existing and in good standing</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Laws of the PRC.</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7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duly qualified to do business and is in good standing (to the extent the applicable jurisdiction recognizes such concept) under the Laws of each jurisdiction in which the conduct of its business, or the character of the properties owned or leased by it, requires it to be so qualified.</w:t>
      </w:r>
    </w:p>
    <w:p>
      <w:pPr>
        <w:spacing w:after="0" w:line="18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Capitalization and Corporate Structure</w:t>
      </w:r>
    </w:p>
    <w:p>
      <w:pPr>
        <w:spacing w:after="0" w:line="220" w:lineRule="exact"/>
        <w:rPr>
          <w:sz w:val="20"/>
          <w:szCs w:val="20"/>
          <w:color w:val="auto"/>
        </w:rPr>
      </w:pPr>
    </w:p>
    <w:p>
      <w:pPr>
        <w:ind w:firstLine="1952"/>
        <w:spacing w:after="0" w:line="271" w:lineRule="auto"/>
        <w:tabs>
          <w:tab w:leader="none" w:pos="248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capital of the Company as of the date of this Agreement is US$272,000,000, all of which has been (or will be) contributed and paid up by Seller prior to the Closing.</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6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own or Control, directly or indirectly, any equity interests in any joint venture, partnership or similar arrangement. The Company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13" w:name="page114"/>
    <w:bookmarkEnd w:id="113"/>
    <w:p>
      <w:pPr>
        <w:spacing w:after="0" w:line="271" w:lineRule="auto"/>
        <w:rPr>
          <w:sz w:val="20"/>
          <w:szCs w:val="20"/>
          <w:color w:val="auto"/>
        </w:rPr>
      </w:pPr>
      <w:r>
        <w:rPr>
          <w:rFonts w:ascii="Times New Roman" w:cs="Times New Roman" w:eastAsia="Times New Roman" w:hAnsi="Times New Roman"/>
          <w:sz w:val="22"/>
          <w:szCs w:val="22"/>
          <w:color w:val="auto"/>
        </w:rPr>
        <w:t>and will not be obligated to make any investment in or capital contribution to or on behalf of any other Person. The Company does not have any registered or unregistered branch company.</w:t>
      </w:r>
    </w:p>
    <w:p>
      <w:pPr>
        <w:spacing w:after="0" w:line="158" w:lineRule="exact"/>
        <w:rPr>
          <w:sz w:val="20"/>
          <w:szCs w:val="20"/>
          <w:color w:val="auto"/>
        </w:rPr>
      </w:pPr>
    </w:p>
    <w:p>
      <w:pPr>
        <w:jc w:val="both"/>
        <w:ind w:firstLine="1952"/>
        <w:spacing w:after="0" w:line="266" w:lineRule="auto"/>
        <w:tabs>
          <w:tab w:leader="none" w:pos="258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the registered capital and shareholding changes and other historical entity changes of the Company from its establishment are valid and all requisite filings and other formalities in relation to such registered capital changes, shareholding changes and other historical entity changes required by PRC Laws and any other applicable Laws have been duly submitted, delivered, approved and registered, except for such other historical entity changes of the Company, where the failure to be valid or submitted, delivered, approved and registered would not have a Company Material Adverse Effect. Except as set forth in </w:t>
      </w:r>
      <w:r>
        <w:rPr>
          <w:rFonts w:ascii="Times New Roman" w:cs="Times New Roman" w:eastAsia="Times New Roman" w:hAnsi="Times New Roman"/>
          <w:sz w:val="21"/>
          <w:szCs w:val="21"/>
          <w:u w:val="single" w:color="auto"/>
          <w:color w:val="auto"/>
        </w:rPr>
        <w:t>Section 3.7(c)</w:t>
      </w:r>
      <w:r>
        <w:rPr>
          <w:rFonts w:ascii="Times New Roman" w:cs="Times New Roman" w:eastAsia="Times New Roman" w:hAnsi="Times New Roman"/>
          <w:sz w:val="21"/>
          <w:szCs w:val="21"/>
          <w:color w:val="auto"/>
        </w:rPr>
        <w:t xml:space="preserve"> of the Seller Disclosure Letter, any payments required for the above registered capital changes and shareholding changes of the Company have been fully made and settled without any potential or unsolved disputes.</w:t>
      </w:r>
    </w:p>
    <w:p>
      <w:pPr>
        <w:spacing w:after="0" w:line="165"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3.8</w:t>
      </w:r>
      <w:r>
        <w:rPr>
          <w:sz w:val="20"/>
          <w:szCs w:val="20"/>
          <w:color w:val="auto"/>
        </w:rPr>
        <w:tab/>
      </w:r>
      <w:r>
        <w:rPr>
          <w:rFonts w:ascii="Times New Roman" w:cs="Times New Roman" w:eastAsia="Times New Roman" w:hAnsi="Times New Roman"/>
          <w:sz w:val="21"/>
          <w:szCs w:val="21"/>
          <w:u w:val="single" w:color="auto"/>
          <w:color w:val="auto"/>
        </w:rPr>
        <w:t>Financial Statements</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of the Seller Disclosure Letter includes true and complete copies of the Company’s (a) audited balance sheets as of December 31, 2021, December 31, 2022 and unaudited balance sheet as of June 30, 2023 (the last balance sheet, the “</w:t>
      </w:r>
      <w:r>
        <w:rPr>
          <w:rFonts w:ascii="Times New Roman" w:cs="Times New Roman" w:eastAsia="Times New Roman" w:hAnsi="Times New Roman"/>
          <w:sz w:val="21"/>
          <w:szCs w:val="21"/>
          <w:u w:val="single" w:color="auto"/>
          <w:color w:val="auto"/>
        </w:rPr>
        <w:t>2023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Balance Sheet</w:t>
      </w:r>
      <w:r>
        <w:rPr>
          <w:rFonts w:ascii="Times New Roman" w:cs="Times New Roman" w:eastAsia="Times New Roman" w:hAnsi="Times New Roman"/>
          <w:sz w:val="21"/>
          <w:szCs w:val="21"/>
          <w:color w:val="auto"/>
        </w:rPr>
        <w:t>”, and the date thereof, the “</w:t>
      </w:r>
      <w:r>
        <w:rPr>
          <w:rFonts w:ascii="Times New Roman" w:cs="Times New Roman" w:eastAsia="Times New Roman" w:hAnsi="Times New Roman"/>
          <w:sz w:val="21"/>
          <w:szCs w:val="21"/>
          <w:u w:val="single" w:color="auto"/>
          <w:color w:val="auto"/>
        </w:rPr>
        <w:t>Statement Date</w:t>
      </w:r>
      <w:r>
        <w:rPr>
          <w:rFonts w:ascii="Times New Roman" w:cs="Times New Roman" w:eastAsia="Times New Roman" w:hAnsi="Times New Roman"/>
          <w:sz w:val="21"/>
          <w:szCs w:val="21"/>
          <w:color w:val="auto"/>
        </w:rPr>
        <w:t>”) and (b) audited income statements and statements of cash flows as of and for the fiscal years ended 2021 and 2022 and unaudited income statement and statement of cash flows as of and for the six</w:t>
      </w:r>
    </w:p>
    <w:p>
      <w:pPr>
        <w:spacing w:after="0" w:line="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(6)-month period ended June 30, 2023 ((a) and (b) collectively,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Financial Statements (i) were prepared in accordance with the Accounting Principles consistently applied for the periods indicated (except as otherwise noted therein) and (ii) the balance sheets present fairly, in all material respects, the financial position of the Company, as of their respective dates, and the income statements and statements of cash flows present fairly, in all material respects, the results of the Company’s operations and its cash flows for the periods presented therein, all in accordance with the Accounting Principles.</w:t>
      </w:r>
    </w:p>
    <w:p>
      <w:pPr>
        <w:spacing w:after="0" w:line="181"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Conduct of Business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Except for actions taken in connection with the process of selling the Purchased Interest (including the preparation and implementation of the transactions contemplated hereunder) and except as set forth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of the Seller Disclosure Letter, since the Statement Date until the date of this Agreement:</w:t>
      </w:r>
    </w:p>
    <w:p>
      <w:pPr>
        <w:spacing w:after="0" w:line="173" w:lineRule="exact"/>
        <w:rPr>
          <w:sz w:val="20"/>
          <w:szCs w:val="20"/>
          <w:color w:val="auto"/>
        </w:rPr>
      </w:pPr>
    </w:p>
    <w:p>
      <w:pPr>
        <w:ind w:firstLine="1952"/>
        <w:spacing w:after="0" w:line="284" w:lineRule="auto"/>
        <w:tabs>
          <w:tab w:leader="none" w:pos="25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conducted its businesses and operations in the ordinary course of business, consistent with past practice, in all material respects; and</w:t>
      </w:r>
    </w:p>
    <w:p>
      <w:pPr>
        <w:spacing w:after="0" w:line="14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not been any Company Material Adverse Effect.</w:t>
      </w:r>
    </w:p>
    <w:p>
      <w:pPr>
        <w:spacing w:after="0" w:line="220"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Company Litigation</w:t>
      </w:r>
    </w:p>
    <w:p>
      <w:pPr>
        <w:spacing w:after="0" w:line="220" w:lineRule="exact"/>
        <w:rPr>
          <w:sz w:val="20"/>
          <w:szCs w:val="20"/>
          <w:color w:val="auto"/>
        </w:rPr>
      </w:pPr>
    </w:p>
    <w:p>
      <w:pPr>
        <w:ind w:right="20" w:firstLine="1952"/>
        <w:spacing w:after="0" w:line="271" w:lineRule="auto"/>
        <w:tabs>
          <w:tab w:leader="none" w:pos="240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pending or, to the Knowledge of Seller, threatened, against the Company or any Person (in his/her capacity as a director, supervisor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14" w:name="page115"/>
    <w:bookmarkEnd w:id="114"/>
    <w:p>
      <w:pPr>
        <w:spacing w:after="0" w:line="271" w:lineRule="auto"/>
        <w:rPr>
          <w:sz w:val="20"/>
          <w:szCs w:val="20"/>
          <w:color w:val="auto"/>
        </w:rPr>
      </w:pPr>
      <w:r>
        <w:rPr>
          <w:rFonts w:ascii="Times New Roman" w:cs="Times New Roman" w:eastAsia="Times New Roman" w:hAnsi="Times New Roman"/>
          <w:sz w:val="22"/>
          <w:szCs w:val="22"/>
          <w:color w:val="auto"/>
        </w:rPr>
        <w:t>officer of the Company) by or before any Governmental Authority that, if determined in a manner adverse to the Company, either alone or in combination, would have a Company Material Adverse Effect.</w:t>
      </w:r>
    </w:p>
    <w:p>
      <w:pPr>
        <w:spacing w:after="0" w:line="158" w:lineRule="exact"/>
        <w:rPr>
          <w:sz w:val="20"/>
          <w:szCs w:val="20"/>
          <w:color w:val="auto"/>
        </w:rPr>
      </w:pPr>
    </w:p>
    <w:p>
      <w:pPr>
        <w:ind w:left="2540" w:hanging="588"/>
        <w:spacing w:after="0"/>
        <w:tabs>
          <w:tab w:leader="none" w:pos="25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Orders binding on the Company that would have a Company Material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Adverse Effect.</w:t>
      </w:r>
    </w:p>
    <w:p>
      <w:pPr>
        <w:spacing w:after="0" w:line="207" w:lineRule="exact"/>
        <w:rPr>
          <w:sz w:val="20"/>
          <w:szCs w:val="20"/>
          <w:color w:val="auto"/>
        </w:rPr>
      </w:pPr>
    </w:p>
    <w:p>
      <w:pPr>
        <w:jc w:val="both"/>
        <w:ind w:firstLine="1952"/>
        <w:spacing w:after="0" w:line="257" w:lineRule="auto"/>
        <w:tabs>
          <w:tab w:leader="none" w:pos="243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in material default with respect to any court, administrative or arbitration order, judgment, injunction, decree or other award made by any Governmental Authority, and to the Knowledge of Seller, no circumstance or fact exists which is likely to give rise to a material default of any of the aforementioned.</w:t>
      </w:r>
    </w:p>
    <w:p>
      <w:pPr>
        <w:spacing w:after="0" w:line="173"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233" w:lineRule="exact"/>
        <w:rPr>
          <w:sz w:val="20"/>
          <w:szCs w:val="20"/>
          <w:color w:val="auto"/>
        </w:rPr>
      </w:pPr>
    </w:p>
    <w:p>
      <w:pPr>
        <w:jc w:val="both"/>
        <w:ind w:firstLine="1952"/>
        <w:spacing w:after="0" w:line="250" w:lineRule="auto"/>
        <w:tabs>
          <w:tab w:leader="none" w:pos="240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failures that would not have a Company Material Adverse Effect, since the Statement Date the Company has timely: (i) filed (taking into account any extension of time within which to file) with the appropriate Taxing Authority all Tax Returns required to have been filed by the Company, the failure of which to file would be material to the businesses of the Company, and all such Tax Returns are true, correct and complete in all material respects; and (ii) paid all Taxes shown as due on such Tax Returns, other than Taxes being contested in good faith.</w:t>
      </w:r>
    </w:p>
    <w:p>
      <w:pPr>
        <w:spacing w:after="0" w:line="180"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9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Statement Date the Company is not the subject of any currently pending Tax audit with respect to Taxes the liability for which would be material to the businesses of the Company. As of the date of this Agreement, there are no pending written requests for waivers of the time to assess any such Taxes. Since the Statement Date, the Company has not waived any statute of limitations with respect to any such Taxes, or agreed to any extension of time with respect to an assessment or deficiency with respect to any such Taxes, which waiver or extension has not since expired. Except for Permitted Liens, there are no Liens for Taxes on any of the assets of the Company. Since the Statement Date, no claim has been made in writing by a Taxing Authority of a jurisdiction where the Company has not filed Tax Returns claiming that the Company is subject to taxation by that jurisdiction, the liability for which would be material to the Company. Since the Statement Date, the Company has not received any written notification of any investigation or proceeding currently pending or being conducted against the Company with respect to Taxes, or any proposed adjustment, deficiency or underpayment of material Taxes.</w:t>
      </w:r>
    </w:p>
    <w:p>
      <w:pPr>
        <w:spacing w:after="0" w:line="183"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4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 not a party to, or bound by, any written material Tax allocation, indemnification or sharing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agreement entered into in the ordinary course of business, including, for example, any Tax gross-up provision in an employee secondment or relocation agreement, a credit arrangement or similar Tax provision in any agreement entered into with third Persons in the ordinary course of business, shall not be considered material.</w:t>
      </w:r>
    </w:p>
    <w:p>
      <w:pPr>
        <w:spacing w:after="0" w:line="176" w:lineRule="exact"/>
        <w:rPr>
          <w:rFonts w:ascii="Times New Roman" w:cs="Times New Roman" w:eastAsia="Times New Roman" w:hAnsi="Times New Roman"/>
          <w:sz w:val="22"/>
          <w:szCs w:val="22"/>
          <w:color w:val="auto"/>
        </w:rPr>
      </w:pPr>
    </w:p>
    <w:p>
      <w:pPr>
        <w:ind w:right="20" w:firstLine="1952"/>
        <w:spacing w:after="0" w:line="271" w:lineRule="auto"/>
        <w:tabs>
          <w:tab w:leader="none" w:pos="241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Seller is not making, and shall not be construed to have made, any representation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15" w:name="page116"/>
    <w:bookmarkEnd w:id="115"/>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warranty as to (i) the amount or utilization of any Tax attribute of the Company or (ii) any position that the Purchaser or its Affiliates (including the Company) may take in a Tax period or portion thereof beginning after the Closing Date. 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constitute the sole representations and warranties made by Seller in this Agreement with respect to Tax matters.</w:t>
      </w:r>
    </w:p>
    <w:p>
      <w:pPr>
        <w:spacing w:after="0" w:line="176"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Employee Benefit Plans</w:t>
      </w:r>
    </w:p>
    <w:p>
      <w:pPr>
        <w:spacing w:after="0" w:line="220" w:lineRule="exact"/>
        <w:rPr>
          <w:sz w:val="20"/>
          <w:szCs w:val="20"/>
          <w:color w:val="auto"/>
        </w:rPr>
      </w:pPr>
    </w:p>
    <w:p>
      <w:pPr>
        <w:jc w:val="both"/>
        <w:ind w:firstLine="1952"/>
        <w:spacing w:after="0" w:line="261" w:lineRule="auto"/>
        <w:tabs>
          <w:tab w:leader="none" w:pos="2454"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of the Seller Disclosure Letter sets forth a complete and accurate list, as of the date hereof, of each Employee Benefit Plan that would be expected to have a material impact on the Company involving payments by the Company in excess of US$500,000, individually or in the aggregate, for any calendar year after the Closing. Seller has provided to Purchaser as of the date hereof a true, correct and materially complete copy (in each case, if applicable) of: (i) each such Employee Benefit Plan and any amendment thereto, including the name list of the employees and Persons entitled to such Employee Benefit Plan, and the amount of the WDC RSUs granted to each applicable Company Employee as of the date hereof;</w:t>
      </w:r>
    </w:p>
    <w:p>
      <w:pPr>
        <w:ind w:firstLine="8"/>
        <w:spacing w:after="0" w:line="248" w:lineRule="auto"/>
        <w:tabs>
          <w:tab w:leader="none" w:pos="33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funding document, including each trust, insurance, annuity or other funding Contract related thereto; and (iii) the most recent financial statements and actuarial or other valuation reports prepared with respect thereto.</w:t>
      </w:r>
    </w:p>
    <w:p>
      <w:pPr>
        <w:spacing w:after="0" w:line="182"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2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would not have a Company Material Adverse Effect, each Employee Benefit Plan listed on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Seller Disclosure Letter has been established, administered, and operated in compliance with its terms and all applicable Laws.</w:t>
      </w:r>
    </w:p>
    <w:p>
      <w:pPr>
        <w:spacing w:after="0" w:line="167" w:lineRule="exact"/>
        <w:rPr>
          <w:rFonts w:ascii="Times New Roman" w:cs="Times New Roman" w:eastAsia="Times New Roman" w:hAnsi="Times New Roman"/>
          <w:sz w:val="22"/>
          <w:szCs w:val="22"/>
          <w:color w:val="auto"/>
        </w:rPr>
      </w:pPr>
    </w:p>
    <w:p>
      <w:pPr>
        <w:jc w:val="both"/>
        <w:ind w:firstLine="1952"/>
        <w:spacing w:after="0" w:line="295" w:lineRule="auto"/>
        <w:tabs>
          <w:tab w:leader="none" w:pos="240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None of the Employee Benefit Plans listed on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of the Seller Disclosure Letter promises or provides post-employment medical or other welfare benefits to any Company Employee, except as required by applicable Law.</w:t>
      </w:r>
    </w:p>
    <w:p>
      <w:pPr>
        <w:spacing w:after="0" w:line="135" w:lineRule="exact"/>
        <w:rPr>
          <w:rFonts w:ascii="Times New Roman" w:cs="Times New Roman" w:eastAsia="Times New Roman" w:hAnsi="Times New Roman"/>
          <w:sz w:val="21"/>
          <w:szCs w:val="21"/>
          <w:color w:val="auto"/>
        </w:rPr>
      </w:pPr>
    </w:p>
    <w:p>
      <w:pPr>
        <w:jc w:val="both"/>
        <w:ind w:firstLine="1952"/>
        <w:spacing w:after="0" w:line="256" w:lineRule="auto"/>
        <w:tabs>
          <w:tab w:leader="none" w:pos="255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would not have a Company Material Adverse Effect, there are no pending or, to the Knowledge of Seller, threatened, Actions or disputes against or with respect to any Employee Benefit Plan listed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3.12(a)</w:t>
      </w:r>
      <w:r>
        <w:rPr>
          <w:rFonts w:ascii="Times New Roman" w:cs="Times New Roman" w:eastAsia="Times New Roman" w:hAnsi="Times New Roman"/>
          <w:sz w:val="22"/>
          <w:szCs w:val="22"/>
          <w:color w:val="auto"/>
        </w:rPr>
        <w:t xml:space="preserve"> of the Seller Disclosure Letter by any employee or beneficiary covered under any such Employee Benefit Plan or otherwise involving any such Employee Benefit Plan (other than routine claims for benefits).</w:t>
      </w:r>
    </w:p>
    <w:p>
      <w:pPr>
        <w:spacing w:after="0" w:line="176"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3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execution and delivery of this Agreement, or the consummation of the transactions contemplated hereby shall, either alone or in combination with another event or events: (i) entitle any Company Employee to severance pay, unemployment compensation, a change of control payment or any other payment or benefit from the Company or Purchaser under any Employee Benefit Plan or (ii) accelerate the time of payment or vesting, or increase the amount of compensation (including funding of compensation or benefits through a trust or otherwise) due any Company Employee from the Company, Seller or any of Seller’s Affiliates under any Employee Benefit Plan.</w:t>
      </w:r>
    </w:p>
    <w:p>
      <w:pPr>
        <w:spacing w:after="0" w:line="181" w:lineRule="exact"/>
        <w:rPr>
          <w:rFonts w:ascii="Times New Roman" w:cs="Times New Roman" w:eastAsia="Times New Roman" w:hAnsi="Times New Roman"/>
          <w:sz w:val="22"/>
          <w:szCs w:val="22"/>
          <w:color w:val="auto"/>
        </w:rPr>
      </w:pPr>
    </w:p>
    <w:p>
      <w:pPr>
        <w:ind w:firstLine="1952"/>
        <w:spacing w:after="0" w:line="271" w:lineRule="auto"/>
        <w:tabs>
          <w:tab w:leader="none" w:pos="255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constitute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representations and warranties made by Seller in this Agreement with respect to employee benefit matters.</w:t>
      </w:r>
    </w:p>
    <w:p>
      <w:pPr>
        <w:spacing w:after="0" w:line="220"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Labor Matters</w:t>
      </w:r>
    </w:p>
    <w:p>
      <w:pPr>
        <w:spacing w:after="0" w:line="220" w:lineRule="exact"/>
        <w:rPr>
          <w:sz w:val="20"/>
          <w:szCs w:val="20"/>
          <w:color w:val="auto"/>
        </w:rPr>
      </w:pPr>
    </w:p>
    <w:p>
      <w:pPr>
        <w:jc w:val="both"/>
        <w:ind w:firstLine="1952"/>
        <w:spacing w:after="0" w:line="251" w:lineRule="auto"/>
        <w:tabs>
          <w:tab w:leader="none" w:pos="24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(i) labor strikes, slowdowns or stoppages currently pending or, to the Knowledge of Seller, threatened, against or affecting the Company, nor have there been any such labor controversies within the past three (3) years; or (ii) pending or, to the Knowledge of Seller, threatened, representation claims, certification applications or petitions before any Governmental Authority or any organizing efforts or challenges concerning representation with respect to the employees of the Company. There are no collective bargaining agreements of the Company to which any Company Employee is subject.</w:t>
      </w:r>
    </w:p>
    <w:p>
      <w:pPr>
        <w:spacing w:after="0" w:line="194"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1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3.13(b)</w:t>
      </w:r>
      <w:r>
        <w:rPr>
          <w:rFonts w:ascii="Times New Roman" w:cs="Times New Roman" w:eastAsia="Times New Roman" w:hAnsi="Times New Roman"/>
          <w:sz w:val="22"/>
          <w:szCs w:val="22"/>
          <w:color w:val="auto"/>
        </w:rPr>
        <w:t xml:space="preserve"> of the Seller Disclosure Letter, the Company is in material compliance with all obligations imposed on employers pursuant to applicable Laws of the PRC, including, but not limited to, applicable Laws of the PRC regarding social insurance, housing funds, overtime, retirement fund, labor pension, tax withholding and payments (including severance pay, wages, bonuses, awards and remunerations) required to be made on behalf of or for the account of current or former directors, officers, employees and consultants in the nature of social benefits, except where failure to be in compliance would not have a Company Material Adverse Effect.</w:t>
      </w:r>
    </w:p>
    <w:p>
      <w:pPr>
        <w:spacing w:after="0" w:line="200" w:lineRule="exact"/>
        <w:rPr>
          <w:rFonts w:ascii="Times New Roman" w:cs="Times New Roman" w:eastAsia="Times New Roman" w:hAnsi="Times New Roman"/>
          <w:sz w:val="22"/>
          <w:szCs w:val="22"/>
          <w:color w:val="auto"/>
        </w:rPr>
      </w:pPr>
    </w:p>
    <w:p>
      <w:pPr>
        <w:ind w:firstLine="1952"/>
        <w:spacing w:after="0" w:line="295" w:lineRule="auto"/>
        <w:tabs>
          <w:tab w:leader="none" w:pos="24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3.13(c)</w:t>
      </w:r>
      <w:r>
        <w:rPr>
          <w:rFonts w:ascii="Times New Roman" w:cs="Times New Roman" w:eastAsia="Times New Roman" w:hAnsi="Times New Roman"/>
          <w:sz w:val="21"/>
          <w:szCs w:val="21"/>
          <w:color w:val="auto"/>
        </w:rPr>
        <w:t xml:space="preserve"> of the Seller Disclosure Letter, to the Knowledge of Seller, there are no pending disputes between the Company and any of its current or former directors, officers, employees and consultants.</w:t>
      </w:r>
    </w:p>
    <w:p>
      <w:pPr>
        <w:spacing w:after="0" w:line="135" w:lineRule="exact"/>
        <w:rPr>
          <w:rFonts w:ascii="Times New Roman" w:cs="Times New Roman" w:eastAsia="Times New Roman" w:hAnsi="Times New Roman"/>
          <w:sz w:val="21"/>
          <w:szCs w:val="21"/>
          <w:color w:val="auto"/>
        </w:rPr>
      </w:pPr>
    </w:p>
    <w:p>
      <w:pPr>
        <w:jc w:val="both"/>
        <w:ind w:firstLine="1952"/>
        <w:spacing w:after="0" w:line="253" w:lineRule="auto"/>
        <w:tabs>
          <w:tab w:leader="none" w:pos="246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Employees include all personnel necessary for the Company to carry out its primary manufacturing business in the ordinary course of business, consistent with past practice, including, without limitation, personnel necessary for product introductions currently contemplated by Seller and its Affiliates that will be subject to the Supply Agreement. As of the Closing, each Company Employee is engaged solely for the business of the Company, and is not related to other businesses of Seller or its Affiliates.</w:t>
      </w:r>
    </w:p>
    <w:p>
      <w:pPr>
        <w:spacing w:after="0" w:line="17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7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constitute the sole representations and warranties made by Seller in this Agreement with respect to labor matters.</w:t>
      </w:r>
    </w:p>
    <w:p>
      <w:pPr>
        <w:spacing w:after="0" w:line="186"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u w:val="single" w:color="auto"/>
          <w:color w:val="auto"/>
        </w:rPr>
        <w:t>Property and Assets</w:t>
      </w:r>
    </w:p>
    <w:p>
      <w:pPr>
        <w:spacing w:after="0" w:line="220" w:lineRule="exact"/>
        <w:rPr>
          <w:sz w:val="20"/>
          <w:szCs w:val="20"/>
          <w:color w:val="auto"/>
        </w:rPr>
      </w:pPr>
    </w:p>
    <w:p>
      <w:pPr>
        <w:jc w:val="both"/>
        <w:ind w:firstLine="1952"/>
        <w:spacing w:after="0" w:line="251" w:lineRule="auto"/>
        <w:tabs>
          <w:tab w:leader="none" w:pos="240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of the Seller Disclosure Letter, the Company has good and valid title, validly granted land use rights or building ownership rights, as applicable, or, with respect to leased real property, a valid leasehold interest in, all of the Company Real Property (as defined in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and all tangible personal property and other assets reflected in the 2023 Balance Sheet (except for properties and assets sold or disposed of since the Statement Date in the ordinary course of business, consistent with past practice). All Company Real Property, other than the real properties leased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Company, and all such properties and assets are free and clear of all Liens, except for Permitted Liens.</w:t>
      </w:r>
    </w:p>
    <w:p>
      <w:pPr>
        <w:spacing w:after="0" w:line="220" w:lineRule="exact"/>
        <w:rPr>
          <w:sz w:val="20"/>
          <w:szCs w:val="20"/>
          <w:color w:val="auto"/>
        </w:rPr>
      </w:pPr>
    </w:p>
    <w:p>
      <w:pPr>
        <w:jc w:val="both"/>
        <w:ind w:firstLine="1952"/>
        <w:spacing w:after="0" w:line="251" w:lineRule="auto"/>
        <w:tabs>
          <w:tab w:leader="none" w:pos="245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xml:space="preserve"> of the Seller Disclosure Letter sets forth a list of all real property or interests in real property owned, leased or subleased by the Company, as of the date hereof (the “</w:t>
      </w:r>
      <w:r>
        <w:rPr>
          <w:rFonts w:ascii="Times New Roman" w:cs="Times New Roman" w:eastAsia="Times New Roman" w:hAnsi="Times New Roman"/>
          <w:sz w:val="22"/>
          <w:szCs w:val="22"/>
          <w:u w:val="single" w:color="auto"/>
          <w:color w:val="auto"/>
        </w:rPr>
        <w:t>Company Real Property</w:t>
      </w:r>
      <w:r>
        <w:rPr>
          <w:rFonts w:ascii="Times New Roman" w:cs="Times New Roman" w:eastAsia="Times New Roman" w:hAnsi="Times New Roman"/>
          <w:sz w:val="22"/>
          <w:szCs w:val="22"/>
          <w:color w:val="auto"/>
        </w:rPr>
        <w:t xml:space="preserve">”), and the location of such premises. As of the date hereof, Seller has made available to Purchaser true and complete copies of each Company Real Property Lease. Except as set forth in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xml:space="preserve"> of the Seller Disclosure Letter, neither Seller, Seller’s Affiliates nor any third party is utilizing or occupying or has any right to occupy or utilize or holds any other interests in any of the Company Real Property.</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6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3.14(c)</w:t>
      </w:r>
      <w:r>
        <w:rPr>
          <w:rFonts w:ascii="Times New Roman" w:cs="Times New Roman" w:eastAsia="Times New Roman" w:hAnsi="Times New Roman"/>
          <w:sz w:val="22"/>
          <w:szCs w:val="22"/>
          <w:color w:val="auto"/>
        </w:rPr>
        <w:t xml:space="preserve"> of the Seller Disclosure Letter, each Company Real Property Lease is a valid and binding obligation of the Company and, the other party thereto, enforceable in accordance with its terms, except as may be limited by the General Enforceability Exceptions. To the Knowledge of Seller, none of the Company nor any other party under any Company Real Property Lease is in material default under any Company Real Property Lease, and no event has occurred that, with notice or lapse of time or both, would constitute a material default under any Company Real Property Lease.</w:t>
      </w:r>
    </w:p>
    <w:p>
      <w:pPr>
        <w:spacing w:after="0" w:line="18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6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3.14(d)</w:t>
      </w:r>
      <w:r>
        <w:rPr>
          <w:rFonts w:ascii="Times New Roman" w:cs="Times New Roman" w:eastAsia="Times New Roman" w:hAnsi="Times New Roman"/>
          <w:sz w:val="22"/>
          <w:szCs w:val="22"/>
          <w:color w:val="auto"/>
        </w:rPr>
        <w:t xml:space="preserve"> of the Seller Disclosure Letter, the Company has obtained all certificates and permits, filings or approvals required from any Governmental Authority with respect to the construction, fire safety, use and occupancy of the Company Real Property, except where a failure to obtain any such certificate or permit or approval would not materially and adversely affect, or materially disrupt, the ordinary course operation of the businesses of the Company. Except as set forth in </w:t>
      </w:r>
      <w:r>
        <w:rPr>
          <w:rFonts w:ascii="Times New Roman" w:cs="Times New Roman" w:eastAsia="Times New Roman" w:hAnsi="Times New Roman"/>
          <w:sz w:val="22"/>
          <w:szCs w:val="22"/>
          <w:u w:val="single" w:color="auto"/>
          <w:color w:val="auto"/>
        </w:rPr>
        <w:t>Section 3.14(d)</w:t>
      </w:r>
      <w:r>
        <w:rPr>
          <w:rFonts w:ascii="Times New Roman" w:cs="Times New Roman" w:eastAsia="Times New Roman" w:hAnsi="Times New Roman"/>
          <w:sz w:val="22"/>
          <w:szCs w:val="22"/>
          <w:color w:val="auto"/>
        </w:rPr>
        <w:t xml:space="preserve"> of the Seller Disclosure Letter, the Company has not received any written notice of any: (i) material violations of fire safety or construction related Laws; (ii) existing, pending or threatened claims, investigations or legal proceedings for the Company’s failure to comply with the Laws related to fire safety, construction, occupation and operation of the Company Real Property.</w:t>
      </w:r>
    </w:p>
    <w:p>
      <w:pPr>
        <w:spacing w:after="0" w:line="18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3.14(e)</w:t>
      </w:r>
      <w:r>
        <w:rPr>
          <w:rFonts w:ascii="Times New Roman" w:cs="Times New Roman" w:eastAsia="Times New Roman" w:hAnsi="Times New Roman"/>
          <w:sz w:val="22"/>
          <w:szCs w:val="22"/>
          <w:color w:val="auto"/>
        </w:rPr>
        <w:t xml:space="preserve"> of the Seller Disclosure Letter, the Company Real Property and all plants, buildings and improvements located thereon conform in all material respects to all applicable building codes and zoning ordinances or other Laws, and the Company has not received any written notice of any: (i) material violations of building codes and/or zoning ordinances or other Laws affecting the Company Real Property; (ii) existing, pending or threatened-in-writing condemnation proceedings affecting the Company Real Property; or (iii) existing, pending or threatened-in-writing zoning, building code or other moratorium proceedings, or similar matters which would materially and adversely affect, or materially disrupt, the Company’s use of the Company Real Property or the ordinary course operation of the businesses of the Company.</w:t>
      </w:r>
    </w:p>
    <w:p>
      <w:pPr>
        <w:spacing w:after="0" w:line="18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6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violated any covenant, condition, restriction, easement, agreement or Order affecting any portion of the Company Real Property, except where any such violation, individually or in the aggregate, would not materially and adversely affect,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118" w:name="page119"/>
    <w:bookmarkEnd w:id="118"/>
    <w:p>
      <w:pPr>
        <w:ind w:right="20"/>
        <w:spacing w:after="0" w:line="271" w:lineRule="auto"/>
        <w:rPr>
          <w:sz w:val="20"/>
          <w:szCs w:val="20"/>
          <w:color w:val="auto"/>
        </w:rPr>
      </w:pPr>
      <w:r>
        <w:rPr>
          <w:rFonts w:ascii="Times New Roman" w:cs="Times New Roman" w:eastAsia="Times New Roman" w:hAnsi="Times New Roman"/>
          <w:sz w:val="22"/>
          <w:szCs w:val="22"/>
          <w:color w:val="auto"/>
        </w:rPr>
        <w:t>materially disrupt, the Company’s use of the Company Real Property or the ordinary course operation of the businesses of the Company.</w:t>
      </w:r>
    </w:p>
    <w:p>
      <w:pPr>
        <w:spacing w:after="0" w:line="158" w:lineRule="exact"/>
        <w:rPr>
          <w:sz w:val="20"/>
          <w:szCs w:val="20"/>
          <w:color w:val="auto"/>
        </w:rPr>
      </w:pPr>
    </w:p>
    <w:p>
      <w:pPr>
        <w:jc w:val="both"/>
        <w:ind w:firstLine="1952"/>
        <w:spacing w:after="0" w:line="251" w:lineRule="auto"/>
        <w:tabs>
          <w:tab w:leader="none" w:pos="247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3.14(g)</w:t>
      </w:r>
      <w:r>
        <w:rPr>
          <w:rFonts w:ascii="Times New Roman" w:cs="Times New Roman" w:eastAsia="Times New Roman" w:hAnsi="Times New Roman"/>
          <w:sz w:val="22"/>
          <w:szCs w:val="22"/>
          <w:color w:val="auto"/>
        </w:rPr>
        <w:t xml:space="preserve"> of the Seller Disclosure Letter sets forth a list of the material equipment and other movables leased by the Company, with a value exceeding US$1,000,000 individually. Except as set forth in </w:t>
      </w:r>
      <w:r>
        <w:rPr>
          <w:rFonts w:ascii="Times New Roman" w:cs="Times New Roman" w:eastAsia="Times New Roman" w:hAnsi="Times New Roman"/>
          <w:sz w:val="22"/>
          <w:szCs w:val="22"/>
          <w:u w:val="single" w:color="auto"/>
          <w:color w:val="auto"/>
        </w:rPr>
        <w:t>Section 3.14(g)</w:t>
      </w:r>
      <w:r>
        <w:rPr>
          <w:rFonts w:ascii="Times New Roman" w:cs="Times New Roman" w:eastAsia="Times New Roman" w:hAnsi="Times New Roman"/>
          <w:sz w:val="22"/>
          <w:szCs w:val="22"/>
          <w:color w:val="auto"/>
        </w:rPr>
        <w:t xml:space="preserve"> of the Seller Disclosure Letter, the Company solely owns all material equipment and other movables necessary to conduct its business and operations as presently conducted, and has good and valid title to such equipment and movables without any Lien, other than Permitted Liens. With respect to leased equipment and movables, the Company is in compliance in all material respects with all applicable leases.</w:t>
      </w:r>
    </w:p>
    <w:p>
      <w:pPr>
        <w:spacing w:after="0" w:line="195"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u w:val="single" w:color="auto"/>
          <w:color w:val="auto"/>
        </w:rPr>
        <w:t>Environmental Matters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 xml:space="preserve"> of the Seller Disclosure Letter:</w:t>
      </w:r>
    </w:p>
    <w:p>
      <w:pPr>
        <w:spacing w:after="0" w:line="220" w:lineRule="exact"/>
        <w:rPr>
          <w:sz w:val="20"/>
          <w:szCs w:val="20"/>
          <w:color w:val="auto"/>
        </w:rPr>
      </w:pPr>
    </w:p>
    <w:p>
      <w:pPr>
        <w:jc w:val="both"/>
        <w:ind w:firstLine="1952"/>
        <w:spacing w:after="0" w:line="252" w:lineRule="auto"/>
        <w:tabs>
          <w:tab w:leader="none" w:pos="245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compliance with all applicable Environmental Laws (which compliance includes the possession by the Company of all Permits or governmental authorizations required under applicable Environmental Laws, and compliance with the terms and conditions thereof), except where failure to be in compliance would not have a Company Material Adverse Effect; and</w:t>
      </w:r>
    </w:p>
    <w:p>
      <w:pPr>
        <w:spacing w:after="0" w:line="192"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2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pending or, to the Knowledge of Seller, threatened, against the Company arising out of, based on, resulting from or relating to: (i) the release of, or exposure to, any Hazardous Materials; or (ii) any circumstances that form the basis of any violation of any Environmental Law, except for such Actions that would not have a Company Material Adverse Effect.</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7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 xml:space="preserve"> constitute the sole representations and warranties made by Seller in this Agreement with respect to environmental matters.</w:t>
      </w:r>
    </w:p>
    <w:p>
      <w:pPr>
        <w:spacing w:after="0" w:line="167"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No Undisclosed Liabilities</w:t>
      </w:r>
    </w:p>
    <w:p>
      <w:pPr>
        <w:spacing w:after="0" w:line="2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Except as reflected in the 2023 Balance Sheet, the Company does not have any liabilities (absolute, accrued, contingent or otherwise) that would be required to be reflected in a balance sheet prepared in accordance with the Accounting Principles, other than any liabilities: (a) incurred since the Statement Date in the ordinary course of business, consistent with past practice; and</w:t>
      </w:r>
    </w:p>
    <w:p>
      <w:pPr>
        <w:spacing w:after="0" w:line="1" w:lineRule="exact"/>
        <w:rPr>
          <w:sz w:val="20"/>
          <w:szCs w:val="20"/>
          <w:color w:val="auto"/>
        </w:rPr>
      </w:pPr>
    </w:p>
    <w:p>
      <w:pPr>
        <w:ind w:left="1920" w:right="4220" w:hanging="1912"/>
        <w:spacing w:after="0" w:line="436" w:lineRule="auto"/>
        <w:tabs>
          <w:tab w:leader="none" w:pos="31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incurred in connection with the transactions contemplated by this Agreement. Section 3.17 </w:t>
      </w:r>
      <w:r>
        <w:rPr>
          <w:rFonts w:ascii="Times New Roman" w:cs="Times New Roman" w:eastAsia="Times New Roman" w:hAnsi="Times New Roman"/>
          <w:sz w:val="22"/>
          <w:szCs w:val="22"/>
          <w:u w:val="single" w:color="auto"/>
          <w:color w:val="auto"/>
        </w:rPr>
        <w:t>Intellectual Property</w:t>
      </w:r>
    </w:p>
    <w:p>
      <w:pPr>
        <w:spacing w:after="0" w:line="1" w:lineRule="exact"/>
        <w:rPr>
          <w:rFonts w:ascii="Times New Roman" w:cs="Times New Roman" w:eastAsia="Times New Roman" w:hAnsi="Times New Roman"/>
          <w:sz w:val="22"/>
          <w:szCs w:val="22"/>
          <w:color w:val="auto"/>
        </w:rPr>
      </w:pPr>
    </w:p>
    <w:p>
      <w:pPr>
        <w:jc w:val="both"/>
        <w:ind w:firstLine="1952"/>
        <w:spacing w:after="0" w:line="275" w:lineRule="auto"/>
        <w:tabs>
          <w:tab w:leader="none" w:pos="2413"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3.17(a)</w:t>
      </w:r>
      <w:r>
        <w:rPr>
          <w:rFonts w:ascii="Times New Roman" w:cs="Times New Roman" w:eastAsia="Times New Roman" w:hAnsi="Times New Roman"/>
          <w:sz w:val="21"/>
          <w:szCs w:val="21"/>
          <w:color w:val="auto"/>
        </w:rPr>
        <w:t xml:space="preserve"> of the Seller Disclosure Letter sets forth a true and complete list of patents and patent applications, registered copyrights, registered trademarks (including applications) and Internet domain names, in each case, owned by the Company as of the date hereof. The Intellectual Property listed in </w:t>
      </w:r>
      <w:r>
        <w:rPr>
          <w:rFonts w:ascii="Times New Roman" w:cs="Times New Roman" w:eastAsia="Times New Roman" w:hAnsi="Times New Roman"/>
          <w:sz w:val="21"/>
          <w:szCs w:val="21"/>
          <w:u w:val="single" w:color="auto"/>
          <w:color w:val="auto"/>
        </w:rPr>
        <w:t>Section 3.17(a)</w:t>
      </w:r>
      <w:r>
        <w:rPr>
          <w:rFonts w:ascii="Times New Roman" w:cs="Times New Roman" w:eastAsia="Times New Roman" w:hAnsi="Times New Roman"/>
          <w:sz w:val="21"/>
          <w:szCs w:val="21"/>
          <w:color w:val="auto"/>
        </w:rPr>
        <w:t xml:space="preserve"> of the Seller Disclosure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119" w:name="page120"/>
    <w:bookmarkEnd w:id="119"/>
    <w:p>
      <w:pPr>
        <w:spacing w:after="0" w:line="271" w:lineRule="auto"/>
        <w:rPr>
          <w:sz w:val="20"/>
          <w:szCs w:val="20"/>
          <w:color w:val="auto"/>
        </w:rPr>
      </w:pPr>
      <w:r>
        <w:rPr>
          <w:rFonts w:ascii="Times New Roman" w:cs="Times New Roman" w:eastAsia="Times New Roman" w:hAnsi="Times New Roman"/>
          <w:sz w:val="22"/>
          <w:szCs w:val="22"/>
          <w:color w:val="auto"/>
        </w:rPr>
        <w:t>has not been deemed by any Governmental Authority to be invalid or unenforceable and such has not been cancelled or abandoned.</w:t>
      </w:r>
    </w:p>
    <w:p>
      <w:pPr>
        <w:spacing w:after="0" w:line="158" w:lineRule="exact"/>
        <w:rPr>
          <w:sz w:val="20"/>
          <w:szCs w:val="20"/>
          <w:color w:val="auto"/>
        </w:rPr>
      </w:pPr>
    </w:p>
    <w:p>
      <w:pPr>
        <w:ind w:left="2400" w:hanging="448"/>
        <w:spacing w:after="0"/>
        <w:tabs>
          <w:tab w:leader="none" w:pos="24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and as of the Closing Date:</w:t>
      </w:r>
    </w:p>
    <w:p>
      <w:pPr>
        <w:spacing w:after="0" w:line="233" w:lineRule="exact"/>
        <w:rPr>
          <w:rFonts w:ascii="Times New Roman" w:cs="Times New Roman" w:eastAsia="Times New Roman" w:hAnsi="Times New Roman"/>
          <w:sz w:val="22"/>
          <w:szCs w:val="22"/>
          <w:color w:val="auto"/>
        </w:rPr>
      </w:pPr>
    </w:p>
    <w:p>
      <w:pPr>
        <w:jc w:val="both"/>
        <w:ind w:firstLine="2600"/>
        <w:spacing w:after="0" w:line="257" w:lineRule="auto"/>
        <w:tabs>
          <w:tab w:leader="none" w:pos="315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owns or has a valid and enforceable license or otherwise possesses legally enforceable rights to use all Intellectual Property that is currently used in its business as currently conducted and that is material to the business of the Company;</w:t>
      </w:r>
    </w:p>
    <w:p>
      <w:pPr>
        <w:spacing w:after="0" w:line="172" w:lineRule="exact"/>
        <w:rPr>
          <w:rFonts w:ascii="Times New Roman" w:cs="Times New Roman" w:eastAsia="Times New Roman" w:hAnsi="Times New Roman"/>
          <w:sz w:val="22"/>
          <w:szCs w:val="22"/>
          <w:color w:val="auto"/>
        </w:rPr>
      </w:pPr>
    </w:p>
    <w:p>
      <w:pPr>
        <w:jc w:val="both"/>
        <w:ind w:firstLine="2600"/>
        <w:spacing w:after="0" w:line="256" w:lineRule="auto"/>
        <w:tabs>
          <w:tab w:leader="none" w:pos="314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(A) the conduct of the businesses of the Company as currently conducted does not infringe in any material respect any Intellectual Property of any third Person; and (B) the Company has not received any written notice since the Statement Date from any third Person alleging, and there are no pending Actions asserting, the infringement of any Intellectual Property by the Company; and</w:t>
      </w:r>
    </w:p>
    <w:p>
      <w:pPr>
        <w:spacing w:after="0" w:line="176" w:lineRule="exact"/>
        <w:rPr>
          <w:rFonts w:ascii="Times New Roman" w:cs="Times New Roman" w:eastAsia="Times New Roman" w:hAnsi="Times New Roman"/>
          <w:sz w:val="22"/>
          <w:szCs w:val="22"/>
          <w:color w:val="auto"/>
        </w:rPr>
      </w:pPr>
    </w:p>
    <w:p>
      <w:pPr>
        <w:ind w:right="20" w:firstLine="2600"/>
        <w:spacing w:after="0" w:line="271" w:lineRule="auto"/>
        <w:tabs>
          <w:tab w:leader="none" w:pos="323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third Person is infringing any Intellectual Property that is owned by the Company and that is material to the businesses of the Company.</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7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representations and warranties contained in this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xml:space="preserve"> constitute the sole representations and warranties made by Seller in this Agreement with respect to Intellectual Property matters.</w:t>
      </w:r>
    </w:p>
    <w:p>
      <w:pPr>
        <w:spacing w:after="0" w:line="167"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3.18</w:t>
      </w:r>
      <w:r>
        <w:rPr>
          <w:sz w:val="20"/>
          <w:szCs w:val="20"/>
          <w:color w:val="auto"/>
        </w:rPr>
        <w:tab/>
      </w:r>
      <w:r>
        <w:rPr>
          <w:rFonts w:ascii="Times New Roman" w:cs="Times New Roman" w:eastAsia="Times New Roman" w:hAnsi="Times New Roman"/>
          <w:sz w:val="21"/>
          <w:szCs w:val="21"/>
          <w:u w:val="single" w:color="auto"/>
          <w:color w:val="auto"/>
        </w:rPr>
        <w:t>Compliance with Laws and Orders</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 xml:space="preserve"> of the Seller Disclosure Letter, since the Statement Date, (i) the Company has been in compliance, in all material respects, with all Laws and Orders applicable to the businesses, properties or assets thereof; and</w:t>
      </w:r>
    </w:p>
    <w:p>
      <w:pPr>
        <w:spacing w:after="0" w:line="2" w:lineRule="exact"/>
        <w:rPr>
          <w:sz w:val="20"/>
          <w:szCs w:val="20"/>
          <w:color w:val="auto"/>
        </w:rPr>
      </w:pPr>
    </w:p>
    <w:p>
      <w:pPr>
        <w:jc w:val="both"/>
        <w:ind w:firstLine="8"/>
        <w:spacing w:after="0" w:line="252" w:lineRule="auto"/>
        <w:tabs>
          <w:tab w:leader="none" w:pos="32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from any Governmental Authority any written citation, fine or written notification that asserts that the Company has violated or is not in compliance with any such Law or Order in any material manner, and to the Knowledge of Seller, no citation, fine or written notice is threatened.</w:t>
      </w:r>
    </w:p>
    <w:p>
      <w:pPr>
        <w:spacing w:after="0" w:line="178"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3.19</w:t>
      </w:r>
      <w:r>
        <w:rPr>
          <w:sz w:val="20"/>
          <w:szCs w:val="20"/>
          <w:color w:val="auto"/>
        </w:rPr>
        <w:tab/>
      </w:r>
      <w:r>
        <w:rPr>
          <w:rFonts w:ascii="Times New Roman" w:cs="Times New Roman" w:eastAsia="Times New Roman" w:hAnsi="Times New Roman"/>
          <w:sz w:val="21"/>
          <w:szCs w:val="21"/>
          <w:u w:val="single" w:color="auto"/>
          <w:color w:val="auto"/>
        </w:rPr>
        <w:t>Company Contracts</w:t>
      </w:r>
    </w:p>
    <w:p>
      <w:pPr>
        <w:spacing w:after="0" w:line="220" w:lineRule="exact"/>
        <w:rPr>
          <w:sz w:val="20"/>
          <w:szCs w:val="20"/>
          <w:color w:val="auto"/>
        </w:rPr>
      </w:pPr>
    </w:p>
    <w:p>
      <w:pPr>
        <w:ind w:firstLine="1952"/>
        <w:spacing w:after="0" w:line="271" w:lineRule="auto"/>
        <w:tabs>
          <w:tab w:leader="none" w:pos="24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date hereof, except for this Agreement and the Ancillary Agreements, real property leases and Employee Benefit Plans, </w:t>
      </w:r>
      <w:r>
        <w:rPr>
          <w:rFonts w:ascii="Times New Roman" w:cs="Times New Roman" w:eastAsia="Times New Roman" w:hAnsi="Times New Roman"/>
          <w:sz w:val="22"/>
          <w:szCs w:val="22"/>
          <w:u w:val="single" w:color="auto"/>
          <w:color w:val="auto"/>
        </w:rPr>
        <w:t>Section 3.19(a)</w:t>
      </w:r>
      <w:r>
        <w:rPr>
          <w:rFonts w:ascii="Times New Roman" w:cs="Times New Roman" w:eastAsia="Times New Roman" w:hAnsi="Times New Roman"/>
          <w:sz w:val="22"/>
          <w:szCs w:val="22"/>
          <w:color w:val="auto"/>
        </w:rPr>
        <w:t xml:space="preserve">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120" w:name="page121"/>
    <w:bookmarkEnd w:id="120"/>
    <w:p>
      <w:pPr>
        <w:spacing w:after="0" w:line="271" w:lineRule="auto"/>
        <w:rPr>
          <w:sz w:val="20"/>
          <w:szCs w:val="20"/>
          <w:color w:val="auto"/>
        </w:rPr>
      </w:pPr>
      <w:r>
        <w:rPr>
          <w:rFonts w:ascii="Times New Roman" w:cs="Times New Roman" w:eastAsia="Times New Roman" w:hAnsi="Times New Roman"/>
          <w:sz w:val="22"/>
          <w:szCs w:val="22"/>
          <w:color w:val="auto"/>
        </w:rPr>
        <w:t>Disclosure Letter lists each of the following Contracts, which the Company is a party to or bound by, in each case, as of the date of this Agreement:</w:t>
      </w:r>
    </w:p>
    <w:p>
      <w:pPr>
        <w:spacing w:after="0" w:line="158" w:lineRule="exact"/>
        <w:rPr>
          <w:sz w:val="20"/>
          <w:szCs w:val="20"/>
          <w:color w:val="auto"/>
        </w:rPr>
      </w:pPr>
    </w:p>
    <w:p>
      <w:pPr>
        <w:ind w:firstLine="2600"/>
        <w:spacing w:after="0" w:line="284" w:lineRule="auto"/>
        <w:tabs>
          <w:tab w:leader="none" w:pos="30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any third Person that purchases goods or services from the Company for future consideration reasonably expected to be paid to the Company of US$1,000,000 or more in any fiscal year;</w:t>
      </w:r>
    </w:p>
    <w:p>
      <w:pPr>
        <w:spacing w:after="0" w:line="143"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purchase, sale, lease or disposal of any real property;</w:t>
      </w:r>
    </w:p>
    <w:p>
      <w:pPr>
        <w:spacing w:after="0" w:line="219" w:lineRule="exact"/>
        <w:rPr>
          <w:rFonts w:ascii="Times New Roman" w:cs="Times New Roman" w:eastAsia="Times New Roman" w:hAnsi="Times New Roman"/>
          <w:sz w:val="22"/>
          <w:szCs w:val="22"/>
          <w:color w:val="auto"/>
        </w:rPr>
      </w:pPr>
    </w:p>
    <w:p>
      <w:pPr>
        <w:ind w:firstLine="2600"/>
        <w:spacing w:after="0" w:line="271" w:lineRule="auto"/>
        <w:tabs>
          <w:tab w:leader="none" w:pos="330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capital expenditures or the acquisition or construction of fixed assets involving future payments in excess of US$1,000,000, in the aggregate;</w:t>
      </w:r>
    </w:p>
    <w:p>
      <w:pPr>
        <w:spacing w:after="0" w:line="157" w:lineRule="exact"/>
        <w:rPr>
          <w:rFonts w:ascii="Times New Roman" w:cs="Times New Roman" w:eastAsia="Times New Roman" w:hAnsi="Times New Roman"/>
          <w:sz w:val="22"/>
          <w:szCs w:val="22"/>
          <w:color w:val="auto"/>
        </w:rPr>
      </w:pPr>
    </w:p>
    <w:p>
      <w:pPr>
        <w:jc w:val="both"/>
        <w:ind w:firstLine="2600"/>
        <w:spacing w:after="0" w:line="256" w:lineRule="auto"/>
        <w:tabs>
          <w:tab w:leader="none" w:pos="316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the purchase or lease of goods or services (including equipment, materials, software, hardware, supplies, merchandise, parts or other property, assets or services), other than supplier or vendor Contracts entered into in the ordinary course of business, requiring aggregate future payments in excess of US$1,000,000 during any twenty (24)-month period following the date hereof;</w:t>
      </w:r>
    </w:p>
    <w:p>
      <w:pPr>
        <w:spacing w:after="0" w:line="176" w:lineRule="exact"/>
        <w:rPr>
          <w:rFonts w:ascii="Times New Roman" w:cs="Times New Roman" w:eastAsia="Times New Roman" w:hAnsi="Times New Roman"/>
          <w:sz w:val="22"/>
          <w:szCs w:val="22"/>
          <w:color w:val="auto"/>
        </w:rPr>
      </w:pPr>
    </w:p>
    <w:p>
      <w:pPr>
        <w:jc w:val="both"/>
        <w:ind w:firstLine="2600"/>
        <w:spacing w:after="0" w:line="257" w:lineRule="auto"/>
        <w:tabs>
          <w:tab w:leader="none" w:pos="311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agreement, credit agreement, Contract, note, debenture, bond, indenture, mortgage, security agreement, pledge or other similar agreement under which any Indebtedness material to the Company is outstanding or may be incurred;</w:t>
      </w:r>
    </w:p>
    <w:p>
      <w:pPr>
        <w:spacing w:after="0" w:line="186" w:lineRule="exact"/>
        <w:rPr>
          <w:rFonts w:ascii="Times New Roman" w:cs="Times New Roman" w:eastAsia="Times New Roman" w:hAnsi="Times New Roman"/>
          <w:sz w:val="22"/>
          <w:szCs w:val="22"/>
          <w:color w:val="auto"/>
        </w:rPr>
      </w:pPr>
    </w:p>
    <w:p>
      <w:pPr>
        <w:ind w:firstLine="2600"/>
        <w:spacing w:after="0" w:line="271" w:lineRule="auto"/>
        <w:tabs>
          <w:tab w:leader="none" w:pos="321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granting a first refusal, first offer or similar preferential right to purchase or acquire any of the capital stock, equity interests or assets of the Company;</w:t>
      </w:r>
    </w:p>
    <w:p>
      <w:pPr>
        <w:spacing w:after="0" w:line="157" w:lineRule="exact"/>
        <w:rPr>
          <w:rFonts w:ascii="Times New Roman" w:cs="Times New Roman" w:eastAsia="Times New Roman" w:hAnsi="Times New Roman"/>
          <w:sz w:val="22"/>
          <w:szCs w:val="22"/>
          <w:color w:val="auto"/>
        </w:rPr>
      </w:pPr>
    </w:p>
    <w:p>
      <w:pPr>
        <w:jc w:val="both"/>
        <w:ind w:firstLine="2600"/>
        <w:spacing w:after="0" w:line="257" w:lineRule="auto"/>
        <w:tabs>
          <w:tab w:leader="none" w:pos="331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contains express covenants that materially restrict the Company from competing in any line of business or geographic area or with any third Person or including any provisions providing for exclusivity, and most favored nations, or any material Contract that contains change of control restrictions;</w:t>
      </w:r>
    </w:p>
    <w:p>
      <w:pPr>
        <w:spacing w:after="0" w:line="186" w:lineRule="exact"/>
        <w:rPr>
          <w:rFonts w:ascii="Times New Roman" w:cs="Times New Roman" w:eastAsia="Times New Roman" w:hAnsi="Times New Roman"/>
          <w:sz w:val="22"/>
          <w:szCs w:val="22"/>
          <w:color w:val="auto"/>
        </w:rPr>
      </w:pPr>
    </w:p>
    <w:p>
      <w:pPr>
        <w:ind w:right="20" w:firstLine="2600"/>
        <w:spacing w:after="0" w:line="271" w:lineRule="auto"/>
        <w:tabs>
          <w:tab w:leader="none" w:pos="336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creating or relating to any partnership, joint venture or joint development agreement involving future payments or capital commitments;</w:t>
      </w:r>
    </w:p>
    <w:p>
      <w:pPr>
        <w:spacing w:after="0" w:line="157" w:lineRule="exact"/>
        <w:rPr>
          <w:rFonts w:ascii="Times New Roman" w:cs="Times New Roman" w:eastAsia="Times New Roman" w:hAnsi="Times New Roman"/>
          <w:sz w:val="22"/>
          <w:szCs w:val="22"/>
          <w:color w:val="auto"/>
        </w:rPr>
      </w:pPr>
    </w:p>
    <w:p>
      <w:pPr>
        <w:jc w:val="both"/>
        <w:ind w:firstLine="2600"/>
        <w:spacing w:after="0" w:line="256" w:lineRule="auto"/>
        <w:tabs>
          <w:tab w:leader="none" w:pos="312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other than customer Contracts entered into in the ordinary course of business or warranties thereunder issued by the Company, containing a covenant or covenants of the Company to expressly indemnify or hold harmless another third Person unless such obligation to indemnify or hold harmless is less than US$1,000,000, in the aggregate;</w:t>
      </w:r>
    </w:p>
    <w:p>
      <w:pPr>
        <w:spacing w:after="0" w:line="176" w:lineRule="exact"/>
        <w:rPr>
          <w:rFonts w:ascii="Times New Roman" w:cs="Times New Roman" w:eastAsia="Times New Roman" w:hAnsi="Times New Roman"/>
          <w:sz w:val="22"/>
          <w:szCs w:val="22"/>
          <w:color w:val="auto"/>
        </w:rPr>
      </w:pPr>
    </w:p>
    <w:p>
      <w:pPr>
        <w:ind w:firstLine="2600"/>
        <w:spacing w:after="0" w:line="271" w:lineRule="auto"/>
        <w:tabs>
          <w:tab w:leader="none" w:pos="320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relating to the disposition or acquisition by the Company, with obligations remaining to be performed or liabilities continuing after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121" w:name="page122"/>
    <w:bookmarkEnd w:id="121"/>
    <w:p>
      <w:pPr>
        <w:ind w:right="20"/>
        <w:spacing w:after="0" w:line="271" w:lineRule="auto"/>
        <w:rPr>
          <w:sz w:val="20"/>
          <w:szCs w:val="20"/>
          <w:color w:val="auto"/>
        </w:rPr>
      </w:pPr>
      <w:r>
        <w:rPr>
          <w:rFonts w:ascii="Times New Roman" w:cs="Times New Roman" w:eastAsia="Times New Roman" w:hAnsi="Times New Roman"/>
          <w:sz w:val="22"/>
          <w:szCs w:val="22"/>
          <w:color w:val="auto"/>
        </w:rPr>
        <w:t>of this Agreement, of any business or any amount of material assets other than in the ordinary course of business, including any “deferred” or other contingent payments or obligations;</w:t>
      </w:r>
    </w:p>
    <w:p>
      <w:pPr>
        <w:spacing w:after="0" w:line="158" w:lineRule="exact"/>
        <w:rPr>
          <w:sz w:val="20"/>
          <w:szCs w:val="20"/>
          <w:color w:val="auto"/>
        </w:rPr>
      </w:pPr>
    </w:p>
    <w:p>
      <w:pPr>
        <w:jc w:val="both"/>
        <w:ind w:firstLine="2600"/>
        <w:spacing w:after="0" w:line="263" w:lineRule="auto"/>
        <w:tabs>
          <w:tab w:leader="none" w:pos="321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relating to the acquisition by the Company of any operating business or the capital stock or equity interests of any Person (including Contracts under which the Company has an obligation to make an investment in or loan to any such Person); and</w:t>
      </w:r>
    </w:p>
    <w:p>
      <w:pPr>
        <w:spacing w:after="0" w:line="167"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2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licenses granted by or to the Company and material to the business of the Company, but excluding (A) licenses or services Contracts for commercially available software or services (including software as a service) available on standard terms, (B) licenses for open source software, (C) Contracts with current and former employees, contractors, and consultants of the Company, (D) non-exclusive licenses granted in the ordinary course of business, and (E) any Contract entered into by the Company in the ordinary course of business in which the only license to, or right to exploit, Intellectual Property granted in such Contract is incidental to the transaction contemplated in such Contract, the commercial purpose of which is something other than such license or right to exploit.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All Contracts of the type described in this </w:t>
      </w:r>
      <w:r>
        <w:rPr>
          <w:rFonts w:ascii="Times New Roman" w:cs="Times New Roman" w:eastAsia="Times New Roman" w:hAnsi="Times New Roman"/>
          <w:sz w:val="22"/>
          <w:szCs w:val="22"/>
          <w:u w:val="single" w:color="auto"/>
          <w:color w:val="auto"/>
        </w:rPr>
        <w:t>Section 3.19(a)</w:t>
      </w:r>
      <w:r>
        <w:rPr>
          <w:rFonts w:ascii="Times New Roman" w:cs="Times New Roman" w:eastAsia="Times New Roman" w:hAnsi="Times New Roman"/>
          <w:sz w:val="22"/>
          <w:szCs w:val="22"/>
          <w:color w:val="auto"/>
        </w:rPr>
        <w:t xml:space="preserve"> are hereinafter referred to as “</w:t>
      </w:r>
      <w:r>
        <w:rPr>
          <w:rFonts w:ascii="Times New Roman" w:cs="Times New Roman" w:eastAsia="Times New Roman" w:hAnsi="Times New Roman"/>
          <w:sz w:val="22"/>
          <w:szCs w:val="22"/>
          <w:u w:val="single" w:color="auto"/>
          <w:color w:val="auto"/>
        </w:rPr>
        <w:t>Company Contracts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52" w:lineRule="auto"/>
        <w:tabs>
          <w:tab w:leader="none" w:pos="24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Purchaser, in all material respects, copies of all Company Contracts as in effect on the date hereof and: (i) each of the Company Contracts is in full force and effect and, assuming the due execution by the other parties thereto, is a legal, valid and binding agreement of the Company, as applicable, except to the extent any such Company Contract has expired or has been terminated in accordance with its terms, subject to General Enforceability Exceptions; and (ii) there is no default or breach by the Company or, to the Knowledge of Seller, by any other party thereto, in the timely performance of any obligation to be performed thereunder or any other material provision thereof, except any such breach or default that would not materially and adversely affect the business of the Company.</w:t>
      </w:r>
    </w:p>
    <w:p>
      <w:pPr>
        <w:spacing w:after="0" w:line="179"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3.20</w:t>
      </w:r>
      <w:r>
        <w:rPr>
          <w:sz w:val="20"/>
          <w:szCs w:val="20"/>
          <w:color w:val="auto"/>
        </w:rPr>
        <w:tab/>
      </w:r>
      <w:r>
        <w:rPr>
          <w:rFonts w:ascii="Times New Roman" w:cs="Times New Roman" w:eastAsia="Times New Roman" w:hAnsi="Times New Roman"/>
          <w:sz w:val="21"/>
          <w:szCs w:val="21"/>
          <w:u w:val="single" w:color="auto"/>
          <w:color w:val="auto"/>
        </w:rPr>
        <w:t>Suppliers</w:t>
      </w:r>
    </w:p>
    <w:p>
      <w:pPr>
        <w:spacing w:after="0" w:line="220" w:lineRule="exact"/>
        <w:rPr>
          <w:sz w:val="20"/>
          <w:szCs w:val="20"/>
          <w:color w:val="auto"/>
        </w:rPr>
      </w:pPr>
    </w:p>
    <w:p>
      <w:pPr>
        <w:jc w:val="both"/>
        <w:ind w:firstLine="1952"/>
        <w:spacing w:after="0" w:line="250" w:lineRule="auto"/>
        <w:tabs>
          <w:tab w:leader="none" w:pos="241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 xml:space="preserve"> of the Seller Disclosure Letter sets forth a complete and accurate list of the names of the twenty (20) suppliers to whom the Company paid the highest aggregate amounts for supplies, merchandise and other goods during the twelve-month period ended December 31, 2023 (the “</w:t>
      </w:r>
      <w:r>
        <w:rPr>
          <w:rFonts w:ascii="Times New Roman" w:cs="Times New Roman" w:eastAsia="Times New Roman" w:hAnsi="Times New Roman"/>
          <w:sz w:val="22"/>
          <w:szCs w:val="22"/>
          <w:u w:val="single" w:color="auto"/>
          <w:color w:val="auto"/>
        </w:rPr>
        <w:t>Major Suppliers</w:t>
      </w:r>
      <w:r>
        <w:rPr>
          <w:rFonts w:ascii="Times New Roman" w:cs="Times New Roman" w:eastAsia="Times New Roman" w:hAnsi="Times New Roman"/>
          <w:sz w:val="22"/>
          <w:szCs w:val="22"/>
          <w:color w:val="auto"/>
        </w:rPr>
        <w:t>”). Since the Statement Date, to the Knowledge of Seller, there has been no significant adverse change in the business relationship of the Company, on the one hand, and any supplier named in Seller Disclosure Letter, on the other hand. None of the Company or its Affiliates has received any written communication from any supplier named in the Seller Disclosure Letter of any intention to terminate or materially reduce supplies to or its relationship with the Company.</w:t>
      </w:r>
    </w:p>
    <w:p>
      <w:pPr>
        <w:spacing w:after="0" w:line="180"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6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are any written supply agreements (including purchase orders) between the Company and any of the Major Suppliers (the “</w:t>
      </w:r>
      <w:r>
        <w:rPr>
          <w:rFonts w:ascii="Times New Roman" w:cs="Times New Roman" w:eastAsia="Times New Roman" w:hAnsi="Times New Roman"/>
          <w:sz w:val="22"/>
          <w:szCs w:val="22"/>
          <w:u w:val="single" w:color="auto"/>
          <w:color w:val="auto"/>
        </w:rPr>
        <w:t>Major Supply Agreements</w:t>
      </w:r>
      <w:r>
        <w:rPr>
          <w:rFonts w:ascii="Times New Roman" w:cs="Times New Roman" w:eastAsia="Times New Roman" w:hAnsi="Times New Roman"/>
          <w:sz w:val="22"/>
          <w:szCs w:val="22"/>
          <w:color w:val="auto"/>
        </w:rPr>
        <w:t>”), such Major Supply Agreements are valid, effective and enforceable,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122" w:name="page123"/>
    <w:bookmarkEnd w:id="122"/>
    <w:p>
      <w:pPr>
        <w:spacing w:after="0" w:line="271" w:lineRule="auto"/>
        <w:rPr>
          <w:sz w:val="20"/>
          <w:szCs w:val="20"/>
          <w:color w:val="auto"/>
        </w:rPr>
      </w:pPr>
      <w:r>
        <w:rPr>
          <w:rFonts w:ascii="Times New Roman" w:cs="Times New Roman" w:eastAsia="Times New Roman" w:hAnsi="Times New Roman"/>
          <w:sz w:val="22"/>
          <w:szCs w:val="22"/>
          <w:color w:val="auto"/>
        </w:rPr>
        <w:t>may be limited by the General Enforceability Exceptions, and the Company is not in material breach of any such Major Supply Agreement, nor to the Knowledge of Seller, is any Major Supplier in material breach of any such Major Supply Agreement.</w:t>
      </w:r>
    </w:p>
    <w:p>
      <w:pPr>
        <w:spacing w:after="0" w:line="158" w:lineRule="exact"/>
        <w:rPr>
          <w:sz w:val="20"/>
          <w:szCs w:val="20"/>
          <w:color w:val="auto"/>
        </w:rPr>
      </w:pPr>
    </w:p>
    <w:p>
      <w:pPr>
        <w:jc w:val="both"/>
        <w:ind w:firstLine="1952"/>
        <w:spacing w:after="0" w:line="256" w:lineRule="auto"/>
        <w:tabs>
          <w:tab w:leader="none" w:pos="261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3.20(c)</w:t>
      </w:r>
      <w:r>
        <w:rPr>
          <w:rFonts w:ascii="Times New Roman" w:cs="Times New Roman" w:eastAsia="Times New Roman" w:hAnsi="Times New Roman"/>
          <w:sz w:val="22"/>
          <w:szCs w:val="22"/>
          <w:color w:val="auto"/>
        </w:rPr>
        <w:t xml:space="preserve"> of the Seller Disclosure Letter, the execution and the performance of this Agreement and the Ancillary Agreements do not entitle any Major Suppliers to unilaterally terminate the Material Supply Agreement or entitle any Major Suppliers to revise the terms and conditions of Material Supply Agreements in a way substantially unfavorable to the Company.</w:t>
      </w:r>
    </w:p>
    <w:p>
      <w:pPr>
        <w:spacing w:after="0" w:line="176"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3.21</w:t>
      </w:r>
      <w:r>
        <w:rPr>
          <w:sz w:val="20"/>
          <w:szCs w:val="20"/>
          <w:color w:val="auto"/>
        </w:rPr>
        <w:tab/>
      </w:r>
      <w:r>
        <w:rPr>
          <w:rFonts w:ascii="Times New Roman" w:cs="Times New Roman" w:eastAsia="Times New Roman" w:hAnsi="Times New Roman"/>
          <w:sz w:val="21"/>
          <w:szCs w:val="21"/>
          <w:u w:val="single" w:color="auto"/>
          <w:color w:val="auto"/>
        </w:rPr>
        <w:t>Permits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is in possession of all Consents from any Governmental Authorities that are material to the businesses of the Company as currently conducted (collectively, the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The Company is: (a) in compliance in all material respects with all such Permits, all of which are in full force and effect; (b) to the Knowledge of Seller, no event has occurred or circumstance exists that would reasonably be expected to: (i) constitute or result in a material violation of, or a failure to comply in any material respect with, any term or requirement thereof; or (ii) result in the revocation, withdrawal, suspension, cancellation or termination thereof; and (c) the Company has not received any written notice, and to the Knowledge of Seller, no notice is threatened, from any Governmental Authority regarding: (i) any actual, alleged, possible or potential violation or failure to comply in any material respect with any term or requirement thereof; or (ii) any revocation, withdrawal, suspension, cancellation or termination thereof.</w:t>
      </w:r>
    </w:p>
    <w:p>
      <w:pPr>
        <w:spacing w:after="0" w:line="180"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3.22</w:t>
      </w:r>
      <w:r>
        <w:rPr>
          <w:sz w:val="20"/>
          <w:szCs w:val="20"/>
          <w:color w:val="auto"/>
        </w:rPr>
        <w:tab/>
      </w:r>
      <w:r>
        <w:rPr>
          <w:rFonts w:ascii="Times New Roman" w:cs="Times New Roman" w:eastAsia="Times New Roman" w:hAnsi="Times New Roman"/>
          <w:sz w:val="21"/>
          <w:szCs w:val="21"/>
          <w:u w:val="single" w:color="auto"/>
          <w:color w:val="auto"/>
        </w:rPr>
        <w:t>Insurance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3.22</w:t>
      </w:r>
      <w:r>
        <w:rPr>
          <w:rFonts w:ascii="Times New Roman" w:cs="Times New Roman" w:eastAsia="Times New Roman" w:hAnsi="Times New Roman"/>
          <w:sz w:val="22"/>
          <w:szCs w:val="22"/>
          <w:color w:val="auto"/>
        </w:rPr>
        <w:t xml:space="preserve"> of the Seller Disclosure Letter sets forth, as of the date of this Agreement, all material insurance policies maintained by the Company covering the Company and its businesses. All such policies of insurance are in full force and effect in all material respects. The Company has not received any written notice of cancellation or any other indication that any such policy of insurance is no longer in full force or effect or that the issuer of any such policy of insurance is not willing or able to perform its obligations thereunder, and, to the Knowledge of Seller, no event has occurred that will result in the cancellation of coverage under any such policy of insurance. All premiums due on all such policies have been paid and the Company is not in default in any material respect with its obligations under such policies.</w:t>
      </w:r>
    </w:p>
    <w:p>
      <w:pPr>
        <w:spacing w:after="0" w:line="194"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3.23</w:t>
      </w:r>
      <w:r>
        <w:rPr>
          <w:sz w:val="20"/>
          <w:szCs w:val="20"/>
          <w:color w:val="auto"/>
        </w:rPr>
        <w:tab/>
      </w:r>
      <w:r>
        <w:rPr>
          <w:rFonts w:ascii="Times New Roman" w:cs="Times New Roman" w:eastAsia="Times New Roman" w:hAnsi="Times New Roman"/>
          <w:sz w:val="21"/>
          <w:szCs w:val="21"/>
          <w:u w:val="single" w:color="auto"/>
          <w:color w:val="auto"/>
        </w:rPr>
        <w:t>Transactions with Affiliates</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3.23</w:t>
      </w:r>
      <w:r>
        <w:rPr>
          <w:rFonts w:ascii="Times New Roman" w:cs="Times New Roman" w:eastAsia="Times New Roman" w:hAnsi="Times New Roman"/>
          <w:sz w:val="21"/>
          <w:szCs w:val="21"/>
          <w:color w:val="auto"/>
        </w:rPr>
        <w:t xml:space="preserve"> of the Seller Disclosure Letter sets forth, as of the date of this Agreement, all Contracts between the Company, on the one hand, and Seller or any of its Affiliates, or any officer, director, employee, stockholder or immediate family member of the foregoing on the other hand, with respect to the business, operation or assets of the Company or pursuant to which any such Affiliate or any officer, director, employee, stockholder or immediate family member of the foregoing has any interest in the property of the Company, excluding (a) any Employee Benefit Plan, (b) agreements explicitly contemplated to be entered into pursuant to this Agreement, (c) agreements with respect to employment relationships and compensation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123" w:name="page124"/>
    <w:bookmarkEnd w:id="123"/>
    <w:p>
      <w:pPr>
        <w:spacing w:after="0" w:line="271" w:lineRule="auto"/>
        <w:rPr>
          <w:sz w:val="20"/>
          <w:szCs w:val="20"/>
          <w:color w:val="auto"/>
        </w:rPr>
      </w:pPr>
      <w:r>
        <w:rPr>
          <w:rFonts w:ascii="Times New Roman" w:cs="Times New Roman" w:eastAsia="Times New Roman" w:hAnsi="Times New Roman"/>
          <w:sz w:val="22"/>
          <w:szCs w:val="22"/>
          <w:color w:val="auto"/>
        </w:rPr>
        <w:t>ordinary course of business consistent with past practice, and (d) agreements with respect to transactions conducted on an arm’s length basis in the ordinary course of business (collectively,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3.24</w:t>
      </w:r>
      <w:r>
        <w:rPr>
          <w:sz w:val="20"/>
          <w:szCs w:val="20"/>
          <w:color w:val="auto"/>
        </w:rPr>
        <w:tab/>
      </w:r>
      <w:r>
        <w:rPr>
          <w:rFonts w:ascii="Times New Roman" w:cs="Times New Roman" w:eastAsia="Times New Roman" w:hAnsi="Times New Roman"/>
          <w:sz w:val="21"/>
          <w:szCs w:val="21"/>
          <w:u w:val="single" w:color="auto"/>
          <w:color w:val="auto"/>
        </w:rPr>
        <w:t>Data Protection</w:t>
      </w:r>
    </w:p>
    <w:p>
      <w:pPr>
        <w:spacing w:after="0" w:line="233" w:lineRule="exact"/>
        <w:rPr>
          <w:sz w:val="20"/>
          <w:szCs w:val="20"/>
          <w:color w:val="auto"/>
        </w:rPr>
      </w:pPr>
    </w:p>
    <w:p>
      <w:pPr>
        <w:jc w:val="both"/>
        <w:ind w:firstLine="1952"/>
        <w:spacing w:after="0" w:line="252" w:lineRule="auto"/>
        <w:tabs>
          <w:tab w:leader="none" w:pos="258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compliance with all applicable Laws regarding personal information, data protection or cyber security (“</w:t>
      </w:r>
      <w:r>
        <w:rPr>
          <w:rFonts w:ascii="Times New Roman" w:cs="Times New Roman" w:eastAsia="Times New Roman" w:hAnsi="Times New Roman"/>
          <w:sz w:val="22"/>
          <w:szCs w:val="22"/>
          <w:u w:val="single" w:color="auto"/>
          <w:color w:val="auto"/>
        </w:rPr>
        <w:t>Data Protection Laws</w:t>
      </w:r>
      <w:r>
        <w:rPr>
          <w:rFonts w:ascii="Times New Roman" w:cs="Times New Roman" w:eastAsia="Times New Roman" w:hAnsi="Times New Roman"/>
          <w:sz w:val="22"/>
          <w:szCs w:val="22"/>
          <w:color w:val="auto"/>
        </w:rPr>
        <w:t>”) in all material respects (which compliance includes the possession by the Company of all Permits or governmental authorizations required under applicable Data Protection Laws, and compliance with the terms and conditions thereof).</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8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any written notices, claims or any other communications from any Governmental Authority or other Person, that asserts the Company has violated or is not in compliance with any Data Protection Law, and to the Knowledge of Seller, no citation, fine or written notice is threatened.</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45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during the past three (3) years, the Company has not suffered any data leakage, cybersecurity incidents. The Company is not in material breach of its obligations related to data protection.</w:t>
      </w:r>
    </w:p>
    <w:p>
      <w:pPr>
        <w:spacing w:after="0" w:line="158"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3.25</w:t>
      </w:r>
      <w:r>
        <w:rPr>
          <w:sz w:val="20"/>
          <w:szCs w:val="20"/>
          <w:color w:val="auto"/>
        </w:rPr>
        <w:tab/>
      </w:r>
      <w:r>
        <w:rPr>
          <w:rFonts w:ascii="Times New Roman" w:cs="Times New Roman" w:eastAsia="Times New Roman" w:hAnsi="Times New Roman"/>
          <w:sz w:val="21"/>
          <w:szCs w:val="21"/>
          <w:u w:val="single" w:color="auto"/>
          <w:color w:val="auto"/>
        </w:rPr>
        <w:t>Due Diligence Materials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materials provided in the VDR are authentic copies of those materials.</w:t>
      </w:r>
    </w:p>
    <w:p>
      <w:pPr>
        <w:spacing w:after="0" w:line="233"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3.26</w:t>
      </w:r>
      <w:r>
        <w:rPr>
          <w:sz w:val="20"/>
          <w:szCs w:val="20"/>
          <w:color w:val="auto"/>
        </w:rPr>
        <w:tab/>
      </w:r>
      <w:r>
        <w:rPr>
          <w:rFonts w:ascii="Times New Roman" w:cs="Times New Roman" w:eastAsia="Times New Roman" w:hAnsi="Times New Roman"/>
          <w:sz w:val="21"/>
          <w:szCs w:val="21"/>
          <w:u w:val="single" w:color="auto"/>
          <w:color w:val="auto"/>
        </w:rPr>
        <w:t>Solvency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At any time during the date hereof and the Closing Date, the Company shall (a) be Solvent, (b) have adequate capital with which to engage in its business as currently conducted consistent with past practices. The Company has neither been declared bankrupt nor found unable to pay any of its debts which are due. There are no pending or to the Knowledge of Seller, threatened, proceedings in relation to any compromise or arrangement with creditors or any winding up, bankruptcy or other insolvency proceedings concerning the Company.</w:t>
      </w:r>
    </w:p>
    <w:p>
      <w:pPr>
        <w:spacing w:after="0" w:line="179"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3.27</w:t>
      </w:r>
      <w:r>
        <w:rPr>
          <w:sz w:val="20"/>
          <w:szCs w:val="20"/>
          <w:color w:val="auto"/>
        </w:rPr>
        <w:tab/>
      </w:r>
      <w:r>
        <w:rPr>
          <w:rFonts w:ascii="Times New Roman" w:cs="Times New Roman" w:eastAsia="Times New Roman" w:hAnsi="Times New Roman"/>
          <w:sz w:val="21"/>
          <w:szCs w:val="21"/>
          <w:u w:val="single" w:color="auto"/>
          <w:color w:val="auto"/>
        </w:rPr>
        <w:t>Product Liability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To the Knowledge of Seller: (a) the Company has not in the past five (5) years manufactured or sold any product, which does not comply with applicable Laws in force at the time of the manufacturing or sale of the product, and (b) no material product liability or similar claims under any applicable Laws or any agreement executed by the Company exist with respect to products tested, assessed or produced by the Company prior to the Closing Date nor do any facts or circumstances exist as of the date of this Agreement that would reasonably be expected to give rise to such a claim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124" w:name="page125"/>
    <w:bookmarkEnd w:id="124"/>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3.28</w:t>
      </w:r>
      <w:r>
        <w:rPr>
          <w:sz w:val="20"/>
          <w:szCs w:val="20"/>
          <w:color w:val="auto"/>
        </w:rPr>
        <w:tab/>
      </w:r>
      <w:r>
        <w:rPr>
          <w:rFonts w:ascii="Times New Roman" w:cs="Times New Roman" w:eastAsia="Times New Roman" w:hAnsi="Times New Roman"/>
          <w:sz w:val="21"/>
          <w:szCs w:val="21"/>
          <w:u w:val="single" w:color="auto"/>
          <w:color w:val="auto"/>
        </w:rPr>
        <w:t>Anti-Corruption Laws and Sanctions</w:t>
      </w:r>
    </w:p>
    <w:p>
      <w:pPr>
        <w:spacing w:after="0" w:line="220" w:lineRule="exact"/>
        <w:rPr>
          <w:sz w:val="20"/>
          <w:szCs w:val="20"/>
          <w:color w:val="auto"/>
        </w:rPr>
      </w:pPr>
    </w:p>
    <w:p>
      <w:pPr>
        <w:ind w:left="2420" w:hanging="468"/>
        <w:spacing w:after="0"/>
        <w:tabs>
          <w:tab w:leader="none" w:pos="242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and to the Knowledge of Seller, agents or other Persons acting for or on behalf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Company:</w:t>
      </w:r>
    </w:p>
    <w:p>
      <w:pPr>
        <w:spacing w:after="0" w:line="209" w:lineRule="exact"/>
        <w:rPr>
          <w:sz w:val="20"/>
          <w:szCs w:val="20"/>
          <w:color w:val="auto"/>
        </w:rPr>
      </w:pPr>
    </w:p>
    <w:p>
      <w:pPr>
        <w:ind w:firstLine="2600"/>
        <w:spacing w:after="0" w:line="271" w:lineRule="auto"/>
        <w:tabs>
          <w:tab w:leader="none" w:pos="301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currently or has been in the past three (3) years, (A) a Sanctioned Person, or (B) engaging in any dealings or transactions in violation of applicable Sanctions Laws.</w:t>
      </w:r>
    </w:p>
    <w:p>
      <w:pPr>
        <w:spacing w:after="0" w:line="157" w:lineRule="exact"/>
        <w:rPr>
          <w:rFonts w:ascii="Times New Roman" w:cs="Times New Roman" w:eastAsia="Times New Roman" w:hAnsi="Times New Roman"/>
          <w:sz w:val="22"/>
          <w:szCs w:val="22"/>
          <w:color w:val="auto"/>
        </w:rPr>
      </w:pPr>
    </w:p>
    <w:p>
      <w:pPr>
        <w:jc w:val="both"/>
        <w:ind w:firstLine="2600"/>
        <w:spacing w:after="0" w:line="256" w:lineRule="auto"/>
        <w:tabs>
          <w:tab w:leader="none" w:pos="312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at any time in the past three (3) years made or received any unlawful payment or given, offered, promised, or authorized or agreed to give or receive, any money or thing of value, directly or indirectly, to or from any individual acting for or on behalf of any such Governmental Authority (any such individual, a “</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or any other Person in violation of any applicable Anti-Corruption Laws.</w:t>
      </w:r>
    </w:p>
    <w:p>
      <w:pPr>
        <w:spacing w:after="0" w:line="176"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9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in the past three (3) years directly or indirectly offered, in violation of applicable Law, made or promised to make any unlawful contribution, gift, bribe, rebate, payoff, influence payment, kickback, or other payment or thing of value to any Government Official or other Person regardless of form, whether in money, property, or services, (i) to obtain favorable treatment or any other improper advantage in securing or retaining business, (ii) to pay for favorable treatment for business secured or retained, (iii) to obtain special concessions or for special concessions already obtained for or in respect of the Company or (iv) to unlawfully influence any act or decision of any Person in their official capacity or induce such Person to violate their lawful duties.</w:t>
      </w:r>
    </w:p>
    <w:p>
      <w:pPr>
        <w:spacing w:after="0" w:line="180"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at the date hereof, no Action is pending or, to the Knowledge of Seller, has been threatened by or before any Governmental Authority in relation to the Company in the past three (3) years, with respect to any applicable Anti-Corruption Laws and/or Laws on anti-money laundering and terror financing, or Sanctions Laws.</w:t>
      </w:r>
    </w:p>
    <w:p>
      <w:pPr>
        <w:spacing w:after="0" w:line="186"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3.29</w:t>
      </w:r>
      <w:r>
        <w:rPr>
          <w:sz w:val="20"/>
          <w:szCs w:val="20"/>
          <w:color w:val="auto"/>
        </w:rPr>
        <w:tab/>
      </w:r>
      <w:r>
        <w:rPr>
          <w:rFonts w:ascii="Times New Roman" w:cs="Times New Roman" w:eastAsia="Times New Roman" w:hAnsi="Times New Roman"/>
          <w:sz w:val="21"/>
          <w:szCs w:val="21"/>
          <w:u w:val="single" w:color="auto"/>
          <w:color w:val="auto"/>
        </w:rPr>
        <w:t>Brokers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No broker, finder or similar agent has been employed by, or on behalf of, Seller, and no Person with which Seller has had any dealings or communications, is entitled to any brokerage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commission or finder’s fee in connection with this Agreement or the transactions contemplated hereby.</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-29210</wp:posOffset>
            </wp:positionV>
            <wp:extent cx="37369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3736975" cy="8255"/>
                    </a:xfrm>
                    <a:prstGeom prst="rect">
                      <a:avLst/>
                    </a:prstGeom>
                    <a:noFill/>
                  </pic:spPr>
                </pic:pic>
              </a:graphicData>
            </a:graphic>
          </wp:anchor>
        </w:drawing>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Purchaser represents and warrants to Seller as follows:</w:t>
      </w:r>
    </w:p>
    <w:p>
      <w:pPr>
        <w:spacing w:after="0" w:line="220"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Organization and Qualification</w:t>
      </w:r>
    </w:p>
    <w:p>
      <w:pPr>
        <w:spacing w:after="0" w:line="220" w:lineRule="exact"/>
        <w:rPr>
          <w:sz w:val="20"/>
          <w:szCs w:val="20"/>
          <w:color w:val="auto"/>
        </w:rPr>
      </w:pPr>
    </w:p>
    <w:p>
      <w:pPr>
        <w:ind w:left="2460" w:hanging="508"/>
        <w:spacing w:after="0"/>
        <w:tabs>
          <w:tab w:leader="none" w:pos="24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is a limited liability company duly organized, validly existing and in good standing under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Laws of the PRC.</w:t>
      </w:r>
    </w:p>
    <w:p>
      <w:pPr>
        <w:spacing w:after="0" w:line="196" w:lineRule="exact"/>
        <w:rPr>
          <w:sz w:val="20"/>
          <w:szCs w:val="20"/>
          <w:color w:val="auto"/>
        </w:rPr>
      </w:pPr>
    </w:p>
    <w:p>
      <w:pPr>
        <w:jc w:val="both"/>
        <w:ind w:firstLine="1952"/>
        <w:spacing w:after="0" w:line="256" w:lineRule="auto"/>
        <w:tabs>
          <w:tab w:leader="none" w:pos="255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is duly qualified to do business and is in good standing (to the extent the applicable jurisdiction recognizes such concept) under the Laws of each jurisdiction in which the conduct of its business, or the character of the properties owned or leased by it, requires it to be so qualified, except where the failure to be so qualified or to be in good standing would not have a Purchaser Material Adverse Effect.</w:t>
      </w:r>
    </w:p>
    <w:p>
      <w:pPr>
        <w:spacing w:after="0" w:line="17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Authorization; Enforceability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Purchaser has the requisite corporate or other similar power and authority to execute and deliver this Agreement and all agreements and documents contemplated hereby to be executed and delivered by it, and to consummate the transactions contemplated hereby and thereby. The execution and delivery of this Agreement and such other agreements and documents and the consummation of the transactions contemplated herein and therein have been duly and validly authorized by all requisite corporate or other similar action on the part of Purchaser. This Agreement has been, and all agreements and documents contemplated hereby to be executed and delivered by it shall be, duly and validly executed and delivered by Purchaser and, assuming the due authorization, execution and delivery by the parties hereto and thereto, shall, upon such execution and delivery hereof and thereof, be the legal, valid and binding obligations of Purchaser hereunder and thereunder, as applicable, enforceable against Purchaser in accordance with its terms, except as limited by the General Enforceability Exceptions.</w:t>
      </w:r>
    </w:p>
    <w:p>
      <w:pPr>
        <w:spacing w:after="0" w:line="180"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p>
    <w:p>
      <w:pPr>
        <w:spacing w:after="0" w:line="220" w:lineRule="exact"/>
        <w:rPr>
          <w:sz w:val="20"/>
          <w:szCs w:val="20"/>
          <w:color w:val="auto"/>
        </w:rPr>
      </w:pPr>
    </w:p>
    <w:p>
      <w:pPr>
        <w:jc w:val="both"/>
        <w:ind w:firstLine="1952"/>
        <w:spacing w:after="0" w:line="250" w:lineRule="auto"/>
        <w:tabs>
          <w:tab w:leader="none" w:pos="249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by Purchaser, nor the other agreements and documents contemplated hereby to be executed and delivered by Purchaser, nor the consummation by Purchaser of the transactions contemplated herein or therein, nor compliance by Purchaser with any of the provisions hereof or thereof, shall: (i) conflict with or result in a breach of any provisions of the Organizational Documents of Purchaser; or (ii) constitute or result in the breach of any term, condition or provision of, or constitute a default under, or give rise to any right of termination, cancellation or acceleration with respect to, or result in the creation or imposition of a Lien upon any property or assets of Purchaser, excluding any Lien created in connection with the Letter of Guarantee, violate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126" w:name="page127"/>
    <w:bookmarkEnd w:id="126"/>
    <w:p>
      <w:pPr>
        <w:spacing w:after="0" w:line="271" w:lineRule="auto"/>
        <w:rPr>
          <w:sz w:val="20"/>
          <w:szCs w:val="20"/>
          <w:color w:val="auto"/>
        </w:rPr>
      </w:pPr>
      <w:r>
        <w:rPr>
          <w:rFonts w:ascii="Times New Roman" w:cs="Times New Roman" w:eastAsia="Times New Roman" w:hAnsi="Times New Roman"/>
          <w:sz w:val="22"/>
          <w:szCs w:val="22"/>
          <w:color w:val="auto"/>
        </w:rPr>
        <w:t>Law or Order applicable to Purchaser or any of its properties or assets, except as would not result in a Purchaser Material Adverse Effect.</w:t>
      </w:r>
    </w:p>
    <w:p>
      <w:pPr>
        <w:spacing w:after="0" w:line="158" w:lineRule="exact"/>
        <w:rPr>
          <w:sz w:val="20"/>
          <w:szCs w:val="20"/>
          <w:color w:val="auto"/>
        </w:rPr>
      </w:pPr>
    </w:p>
    <w:p>
      <w:pPr>
        <w:jc w:val="both"/>
        <w:ind w:firstLine="1952"/>
        <w:spacing w:after="0" w:line="256" w:lineRule="auto"/>
        <w:tabs>
          <w:tab w:leader="none" w:pos="261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Consent by any Governmental Authority is required to be obtained by Purchaser for the consummation by Purchaser of the transactions contemplated by this Agreement that if not obtained would have a Purchaser Material Adverse Effect, except in connection, or in compliance, with the PRC Antitrust Clearance and the other approvals from any Governmental Authorities required under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u w:val="single" w:color="auto"/>
          <w:color w:val="auto"/>
        </w:rPr>
        <w:t>Litigation</w:t>
      </w:r>
    </w:p>
    <w:p>
      <w:pPr>
        <w:spacing w:after="0" w:line="220" w:lineRule="exact"/>
        <w:rPr>
          <w:sz w:val="20"/>
          <w:szCs w:val="20"/>
          <w:color w:val="auto"/>
        </w:rPr>
      </w:pPr>
    </w:p>
    <w:p>
      <w:pPr>
        <w:jc w:val="both"/>
        <w:ind w:firstLine="1952"/>
        <w:spacing w:after="0" w:line="263" w:lineRule="auto"/>
        <w:tabs>
          <w:tab w:leader="none" w:pos="23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Action pending or, to the Knowledge of Purchaser, threatened, against Purchaser or any of its Affiliates by or before any Governmental Authority that, if determined in a manner adverse to Purchaser or any of its Affiliates, would have a Purchaser Material Adverse Effect.</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52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outstanding Order binding on or, to the Knowledge of Purchaser, threatened, against Purchaser or any of its Affiliates that would have a Purchaser Material Adverse Effect.</w:t>
      </w:r>
    </w:p>
    <w:p>
      <w:pPr>
        <w:spacing w:after="0" w:line="158"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Solvency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Assuming (a) the representations and warranties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are true and correct, (b) compliance in all material respects by Seller with its obligations hereunder, (c) the satisfaction of the conditions to Purchaser’s obligations to consummate the transactions contemplated by this Agreement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(d) immediately prior to the Closing, the Company is Solvent, then immediately after giving effect to all of the transactions contemplated by this Agreement, Purchaser and its Subsidiaries shall be Solvent.</w:t>
      </w:r>
    </w:p>
    <w:p>
      <w:pPr>
        <w:spacing w:after="0" w:line="179"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u w:val="single" w:color="auto"/>
          <w:color w:val="auto"/>
        </w:rPr>
        <w:t>Independent Investigation; No Reliance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In connection with its investment decision, Purchaser expressly acknowledges that it and its Representatives have inspected the business, operations, technology, assets, liabilities, results of operations, financial condition and prospects of the Company and have conducted such independent review, investigation and analysis (financial and otherwise) of the Company as desired by Purchaser. Purchaser hereby expressly acknowledges that Seller has provided Purchaser with access to the personnel, properties, premises and books and records of the Company for this purpose. Purchaser hereby expressly acknowledges that its purchase of the Purchased Interest and the consummation of the transactions contemplated hereby are not done in reliance upon any representation or warranty or omission by, or information from, Seller or any of its Affiliates or Representatives, whether oral or written, express or implied, including any implied warranty of merchantability or of fitness for a particular purpose, except for the representations and warranties specifically and expressly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(as modified by the Seller Disclosure Letter), and Purchaser hereby expressly acknowledges that Seller expressly disclaims any other representations and warranties. Such purchase and consummation are instead done entirely on the basis of Purchaser’s own investigation, analysis, judgment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assessment of the present and potential value and earning power of the Company, as well as those representations and warranties by Seller, as specifically and expressly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(as modified by the Seller Disclosure Letter). Purchaser expressly acknowledges that neither Seller nor any of its Affiliates has made any representation or warranty to Purchaser regarding the probable success or profitability of the Company or its business. Purchaser further expressly acknowledges that neither Seller nor any of its Affiliates nor any other Person has made any representation or warranty, express or implied, as to the accuracy or completeness of any information regarding the Company, its businesses or the transactions contemplated by this Agreement, except for the information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(as modified by the Seller Disclosure Letter), and neither Seller nor any of its Affiliates nor any other Person shall have or be subject to any liability to, Purchaser, its Affiliates, their respective Subsidiaries, shareholders, Controlling persons or Representatives or any other Person resulting from the distribution to Purchaser or its Representatives or Purchaser’s use of any such information, including the any confidential information memoranda or management presentations distributed by, or on behalf of, the Company relating to its businesses, any such information contained in the VDR or any other data room (including any electronic or “virtual” data room), or any information contained in any publication, document or other form provided or made available, or any omission thereof or therein, to Purchaser or any of its Representatives in connection with the purchase and sale of the Purchased Interest and the transactions contemplated hereby.</w:t>
      </w:r>
    </w:p>
    <w:p>
      <w:pPr>
        <w:spacing w:after="0" w:line="185"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1"/>
          <w:szCs w:val="21"/>
          <w:u w:val="single" w:color="auto"/>
          <w:color w:val="auto"/>
        </w:rPr>
        <w:t>Available Funds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Purchaser has, and will have at the Closing, cash on hand necessary to consummate the transactions contemplated by this Agreement, including (a) making payment of the Purchase Price to Seller when due and (b) paying all related fees and expenses arising from the transactions contemplated by this Agreement.</w:t>
      </w:r>
    </w:p>
    <w:p>
      <w:pPr>
        <w:spacing w:after="0" w:line="173"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1"/>
          <w:szCs w:val="21"/>
          <w:u w:val="single" w:color="auto"/>
          <w:color w:val="auto"/>
        </w:rPr>
        <w:t>Letters of Guarantee</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As of the Closing, each Letter of Guarantee shall have been duly issued by the Purchaser Guarantor in favor of Seller, shall be in full force and effect, shall constitute the legal, valid and binding obligation of the Purchaser Guarantor, enforceable in accordance with its terms, and shall not have been amended, withdrawn or rescinded in any respect. As of the Closing, no event shall have occurred which, with or without notice, lapse of time or both, would constitute a default on the part of the Purchaser Guarantor under the Letters of Guarantee. Purchaser has not received any written notice of cancellation or any other indication that any Letter of Guarantee is no longer in full force or effect or that the Purchaser Guarantor is not willing or able to perform its obligations thereunder, and, no event has occurred that will result in the cancellation or termination of such Letter of Guarantee.</w:t>
      </w:r>
    </w:p>
    <w:p>
      <w:pPr>
        <w:spacing w:after="0" w:line="173"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4.9</w:t>
      </w:r>
      <w:r>
        <w:rPr>
          <w:sz w:val="20"/>
          <w:szCs w:val="20"/>
          <w:color w:val="auto"/>
        </w:rPr>
        <w:tab/>
      </w:r>
      <w:r>
        <w:rPr>
          <w:rFonts w:ascii="Times New Roman" w:cs="Times New Roman" w:eastAsia="Times New Roman" w:hAnsi="Times New Roman"/>
          <w:sz w:val="21"/>
          <w:szCs w:val="21"/>
          <w:u w:val="single" w:color="auto"/>
          <w:color w:val="auto"/>
        </w:rPr>
        <w:t>Brokers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 broker, finder or similar agent has been employed by, or on behalf of, Purchaser, and no Person with which Purchaser has had any dealings or communications is entitled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brokerage commission or finder’s fee in connection with this Agreement or the transactions contemplated hereby.</w:t>
      </w:r>
    </w:p>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COVENANTS</w:t>
      </w:r>
    </w:p>
    <w:p>
      <w:pPr>
        <w:spacing w:after="0" w:line="209"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Conduct of Business Prior to the Closing</w:t>
      </w:r>
    </w:p>
    <w:p>
      <w:pPr>
        <w:spacing w:after="0" w:line="220" w:lineRule="exact"/>
        <w:rPr>
          <w:sz w:val="20"/>
          <w:szCs w:val="20"/>
          <w:color w:val="auto"/>
        </w:rPr>
      </w:pPr>
    </w:p>
    <w:p>
      <w:pPr>
        <w:jc w:val="both"/>
        <w:ind w:firstLine="1952"/>
        <w:spacing w:after="0" w:line="253" w:lineRule="auto"/>
        <w:tabs>
          <w:tab w:leader="none" w:pos="249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 for the matters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of the Seller Disclosure Letter; (x) as required by the terms of any Contract set forth in the Seller Disclosure Letter or contained in the VDR or under applicable Law; (y) as otherwise contemplated by this Agreement; or (z) with the prior written consent of Purchaser (which consent shall not be unreasonably withheld, delayed or conditioned), during the Interim Period, Seller shall and shall cause the Company to:</w:t>
      </w:r>
    </w:p>
    <w:p>
      <w:pPr>
        <w:spacing w:after="0" w:line="178" w:lineRule="exact"/>
        <w:rPr>
          <w:rFonts w:ascii="Times New Roman" w:cs="Times New Roman" w:eastAsia="Times New Roman" w:hAnsi="Times New Roman"/>
          <w:sz w:val="22"/>
          <w:szCs w:val="22"/>
          <w:color w:val="auto"/>
        </w:rPr>
      </w:pPr>
    </w:p>
    <w:p>
      <w:pPr>
        <w:ind w:firstLine="2600"/>
        <w:spacing w:after="0" w:line="271" w:lineRule="auto"/>
        <w:tabs>
          <w:tab w:leader="none" w:pos="306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the businesses of the Company in the ordinary course of business and in accordance with past practice in all material respects;</w:t>
      </w:r>
    </w:p>
    <w:p>
      <w:pPr>
        <w:spacing w:after="0" w:line="157" w:lineRule="exact"/>
        <w:rPr>
          <w:rFonts w:ascii="Times New Roman" w:cs="Times New Roman" w:eastAsia="Times New Roman" w:hAnsi="Times New Roman"/>
          <w:sz w:val="22"/>
          <w:szCs w:val="22"/>
          <w:color w:val="auto"/>
        </w:rPr>
      </w:pPr>
    </w:p>
    <w:p>
      <w:pPr>
        <w:ind w:right="20" w:firstLine="2600"/>
        <w:spacing w:after="0" w:line="271" w:lineRule="auto"/>
        <w:tabs>
          <w:tab w:leader="none" w:pos="321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the premises, facilities and assets owned, operated or used by the Company in substantially the same state of repair, order and conditions as they are on the date hereof, reasonable wear and tear excepted;</w:t>
      </w:r>
    </w:p>
    <w:p>
      <w:pPr>
        <w:spacing w:after="0" w:line="157" w:lineRule="exact"/>
        <w:rPr>
          <w:rFonts w:ascii="Times New Roman" w:cs="Times New Roman" w:eastAsia="Times New Roman" w:hAnsi="Times New Roman"/>
          <w:sz w:val="22"/>
          <w:szCs w:val="22"/>
          <w:color w:val="auto"/>
        </w:rPr>
      </w:pPr>
    </w:p>
    <w:p>
      <w:pPr>
        <w:ind w:left="3140" w:hanging="540"/>
        <w:spacing w:after="0"/>
        <w:tabs>
          <w:tab w:leader="none" w:pos="314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sufficient Cash as required for the business operation of the Company; and</w:t>
      </w:r>
    </w:p>
    <w:p>
      <w:pPr>
        <w:spacing w:after="0" w:line="233" w:lineRule="exact"/>
        <w:rPr>
          <w:rFonts w:ascii="Times New Roman" w:cs="Times New Roman" w:eastAsia="Times New Roman" w:hAnsi="Times New Roman"/>
          <w:sz w:val="22"/>
          <w:szCs w:val="22"/>
          <w:color w:val="auto"/>
        </w:rPr>
      </w:pPr>
    </w:p>
    <w:p>
      <w:pPr>
        <w:ind w:firstLine="2600"/>
        <w:spacing w:after="0" w:line="271" w:lineRule="auto"/>
        <w:tabs>
          <w:tab w:leader="none" w:pos="3221"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maintain its relationship with its employees (other than the Excluded Employees) and suppliers in the ordinary course of business in accordance with past practice.</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provisions of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except (w) for the matters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of the Seller Disclosure Letter, (x) as required by the terms of any Contract in existence as of the date of this Agreement or under applicable Law, (y) as otherwise contemplated by this Agreement, or (z) with the prior written consent of Purchaser (which consent shall not be unreasonably withheld, delayed or conditioned), during the Interim Period, the Company shall not, and Seller shall cause the Company not to, other than in the ordinary course of business:</w:t>
      </w:r>
    </w:p>
    <w:p>
      <w:pPr>
        <w:spacing w:after="0" w:line="178"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or amend the Organizational Documents of the Company;</w:t>
      </w:r>
    </w:p>
    <w:p>
      <w:pPr>
        <w:spacing w:after="0" w:line="219" w:lineRule="exact"/>
        <w:rPr>
          <w:rFonts w:ascii="Times New Roman" w:cs="Times New Roman" w:eastAsia="Times New Roman" w:hAnsi="Times New Roman"/>
          <w:sz w:val="22"/>
          <w:szCs w:val="22"/>
          <w:color w:val="auto"/>
        </w:rPr>
      </w:pPr>
    </w:p>
    <w:p>
      <w:pPr>
        <w:jc w:val="both"/>
        <w:ind w:firstLine="2600"/>
        <w:spacing w:after="0" w:line="263" w:lineRule="auto"/>
        <w:tabs>
          <w:tab w:leader="none" w:pos="308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reduce registered capital, or allot or issue any securities or loan capital convertible into equity interest of the Company, purchase, redeem, dispose of, retire or acquire any such securities, or agree to do so, or sell or give any option, right to purchase or create any Lien over any such securities;</w:t>
      </w:r>
    </w:p>
    <w:p>
      <w:pPr>
        <w:spacing w:after="0" w:line="167" w:lineRule="exact"/>
        <w:rPr>
          <w:rFonts w:ascii="Times New Roman" w:cs="Times New Roman" w:eastAsia="Times New Roman" w:hAnsi="Times New Roman"/>
          <w:sz w:val="22"/>
          <w:szCs w:val="22"/>
          <w:color w:val="auto"/>
        </w:rPr>
      </w:pPr>
    </w:p>
    <w:p>
      <w:pPr>
        <w:ind w:firstLine="2600"/>
        <w:spacing w:after="0" w:line="271" w:lineRule="auto"/>
        <w:tabs>
          <w:tab w:leader="none" w:pos="342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 plan of complete or partial liquidation, dissolution, merger, consolidation, restructuring, recapitalization or other reorganization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129" w:name="page130"/>
    <w:bookmarkEnd w:id="129"/>
    <w:p>
      <w:pPr>
        <w:ind w:right="20"/>
        <w:spacing w:after="0" w:line="271" w:lineRule="auto"/>
        <w:rPr>
          <w:sz w:val="20"/>
          <w:szCs w:val="20"/>
          <w:color w:val="auto"/>
        </w:rPr>
      </w:pPr>
      <w:r>
        <w:rPr>
          <w:rFonts w:ascii="Times New Roman" w:cs="Times New Roman" w:eastAsia="Times New Roman" w:hAnsi="Times New Roman"/>
          <w:sz w:val="22"/>
          <w:szCs w:val="22"/>
          <w:color w:val="auto"/>
        </w:rPr>
        <w:t>authorize or undertake a dissolution, consolidation, recapitalization, merger, liquidation, or other reorganization or restructuring of the corporate structure of the Company;</w:t>
      </w:r>
    </w:p>
    <w:p>
      <w:pPr>
        <w:spacing w:after="0" w:line="158" w:lineRule="exact"/>
        <w:rPr>
          <w:sz w:val="20"/>
          <w:szCs w:val="20"/>
          <w:color w:val="auto"/>
        </w:rPr>
      </w:pPr>
    </w:p>
    <w:p>
      <w:pPr>
        <w:jc w:val="both"/>
        <w:ind w:firstLine="2600"/>
        <w:spacing w:after="0" w:line="264" w:lineRule="auto"/>
        <w:tabs>
          <w:tab w:leader="none" w:pos="3126"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establish, enter into, adopt, amend, renew, extend, or terminate any Employee Benefit Plan or any plan, program, policy, agreement, or arrangement that would be an Employee Benefit Plan except (1) as required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5.6(b)</w:t>
      </w:r>
      <w:r>
        <w:rPr>
          <w:rFonts w:ascii="Times New Roman" w:cs="Times New Roman" w:eastAsia="Times New Roman" w:hAnsi="Times New Roman"/>
          <w:sz w:val="21"/>
          <w:szCs w:val="21"/>
          <w:color w:val="auto"/>
        </w:rPr>
        <w:t xml:space="preserve"> below, (2) in the ordinary course of business, (3) consistent with past practice, (4) as required pursuant to any plan, program or agreement existing on the date hereof and as disclosed in the Seller Disclosure Letter or applicable PRC Laws or</w:t>
      </w:r>
    </w:p>
    <w:p>
      <w:pPr>
        <w:ind w:right="20" w:firstLine="8"/>
        <w:spacing w:after="0" w:line="248" w:lineRule="auto"/>
        <w:tabs>
          <w:tab w:leader="none" w:pos="30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otherwise permitted pursuant to this </w:t>
      </w:r>
      <w:r>
        <w:rPr>
          <w:rFonts w:ascii="Times New Roman" w:cs="Times New Roman" w:eastAsia="Times New Roman" w:hAnsi="Times New Roman"/>
          <w:sz w:val="22"/>
          <w:szCs w:val="22"/>
          <w:u w:val="single" w:color="auto"/>
          <w:color w:val="auto"/>
        </w:rPr>
        <w:t>Section 5.1(b)(iv)</w:t>
      </w:r>
      <w:r>
        <w:rPr>
          <w:rFonts w:ascii="Times New Roman" w:cs="Times New Roman" w:eastAsia="Times New Roman" w:hAnsi="Times New Roman"/>
          <w:sz w:val="22"/>
          <w:szCs w:val="22"/>
          <w:color w:val="auto"/>
        </w:rPr>
        <w:t>; grant or announce to grant to any director, officer, employee or staff of the Company any increase in compensation and/or bonus of over 5%;</w:t>
      </w:r>
    </w:p>
    <w:p>
      <w:pPr>
        <w:spacing w:after="0" w:line="195" w:lineRule="exact"/>
        <w:rPr>
          <w:rFonts w:ascii="Times New Roman" w:cs="Times New Roman" w:eastAsia="Times New Roman" w:hAnsi="Times New Roman"/>
          <w:sz w:val="22"/>
          <w:szCs w:val="22"/>
          <w:color w:val="auto"/>
        </w:rPr>
      </w:pPr>
    </w:p>
    <w:p>
      <w:pPr>
        <w:ind w:right="20" w:firstLine="2600"/>
        <w:spacing w:after="0" w:line="271" w:lineRule="auto"/>
        <w:tabs>
          <w:tab w:leader="none" w:pos="3097"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financial accounting methods, principles or practices, except as required by a change in the Accounting Principles, the auditors of the Company or applicable Law;</w:t>
      </w:r>
    </w:p>
    <w:p>
      <w:pPr>
        <w:spacing w:after="0" w:line="157" w:lineRule="exact"/>
        <w:rPr>
          <w:rFonts w:ascii="Times New Roman" w:cs="Times New Roman" w:eastAsia="Times New Roman" w:hAnsi="Times New Roman"/>
          <w:sz w:val="22"/>
          <w:szCs w:val="22"/>
          <w:color w:val="auto"/>
        </w:rPr>
      </w:pPr>
    </w:p>
    <w:p>
      <w:pPr>
        <w:jc w:val="both"/>
        <w:ind w:firstLine="2600"/>
        <w:spacing w:after="0" w:line="253" w:lineRule="auto"/>
        <w:tabs>
          <w:tab w:leader="none" w:pos="323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any Subsidiary or directly or indirectly acquire or agree to acquire or invest in any transaction (by merger, consolidation, stock or asset purchase, investment, or otherwise) any equity interest in or business of any firm, corporation, partnership, company, limited liability company, trust, joint venture, association or other entity or division thereof, or enter into any agreement, arrangement or understanding with respect to any such acquisition or investment, including any confidentiality, exclusivity, standstill or similar agreements;</w:t>
      </w:r>
    </w:p>
    <w:p>
      <w:pPr>
        <w:spacing w:after="0" w:line="178" w:lineRule="exact"/>
        <w:rPr>
          <w:rFonts w:ascii="Times New Roman" w:cs="Times New Roman" w:eastAsia="Times New Roman" w:hAnsi="Times New Roman"/>
          <w:sz w:val="22"/>
          <w:szCs w:val="22"/>
          <w:color w:val="auto"/>
        </w:rPr>
      </w:pPr>
    </w:p>
    <w:p>
      <w:pPr>
        <w:jc w:val="both"/>
        <w:ind w:firstLine="2600"/>
        <w:spacing w:after="0" w:line="248" w:lineRule="auto"/>
        <w:tabs>
          <w:tab w:leader="none" w:pos="3189"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other than purchases and sales of products, inventory and supplies in the ordinary course of business, consistent with past practice, acquire or agree to acquire, sell, lease, license, assign, exchange, pledge, mortgage, encumber, abandon or otherwise transfer or dispose of any tangible or intangible assets (other than real property) in excess of US$1,000,000, in the aggregate (including by merger, consolidation, acquisition of stock or assets), except for (x) sales, dispositions or transfers of products, inventory or obsolete or worn-out equipment in the ordinary course of business consistent with past practice and (y) the sales, dispositions or transfers to an Affiliate of Seller of those certain assets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5.1(b)(vii)</w:t>
      </w:r>
      <w:r>
        <w:rPr>
          <w:rFonts w:ascii="Times New Roman" w:cs="Times New Roman" w:eastAsia="Times New Roman" w:hAnsi="Times New Roman"/>
          <w:sz w:val="22"/>
          <w:szCs w:val="22"/>
          <w:color w:val="auto"/>
        </w:rPr>
        <w:t xml:space="preserve"> of the Seller Disclosure Letter (collectively,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or (B) sell, lease, mortgage, pledge, encumber, abandon, sell and leaseback or otherwise transfer or dispose of any real properties of Company or any material rights or interests therein;</w:t>
      </w:r>
    </w:p>
    <w:p>
      <w:pPr>
        <w:spacing w:after="0" w:line="198" w:lineRule="exact"/>
        <w:rPr>
          <w:rFonts w:ascii="Times New Roman" w:cs="Times New Roman" w:eastAsia="Times New Roman" w:hAnsi="Times New Roman"/>
          <w:sz w:val="22"/>
          <w:szCs w:val="22"/>
          <w:color w:val="auto"/>
        </w:rPr>
      </w:pPr>
    </w:p>
    <w:p>
      <w:pPr>
        <w:jc w:val="both"/>
        <w:ind w:firstLine="2600"/>
        <w:spacing w:after="0" w:line="252" w:lineRule="auto"/>
        <w:tabs>
          <w:tab w:leader="none" w:pos="338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 purchases and sales of products, inventory and supplies in the ordinary course of business, consistent with past practice, (B) transactions contemplated under this Agreement and the Ancillary Agreements and (C) the sales, dispositions or transfers to an Affiliate of Seller of the Excluded Assets, enter into any new Affiliate Transaction or substantially revise the conditions of any Affiliate Transaction;</w:t>
      </w:r>
    </w:p>
    <w:p>
      <w:pPr>
        <w:spacing w:after="0" w:line="179" w:lineRule="exact"/>
        <w:rPr>
          <w:rFonts w:ascii="Times New Roman" w:cs="Times New Roman" w:eastAsia="Times New Roman" w:hAnsi="Times New Roman"/>
          <w:sz w:val="22"/>
          <w:szCs w:val="22"/>
          <w:color w:val="auto"/>
        </w:rPr>
      </w:pPr>
    </w:p>
    <w:p>
      <w:pPr>
        <w:jc w:val="both"/>
        <w:ind w:firstLine="2600"/>
        <w:spacing w:after="0" w:line="281" w:lineRule="auto"/>
        <w:tabs>
          <w:tab w:leader="none" w:pos="316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any material Tax election, change an annual Tax accounting period, adopt or change any material method of accounting for Tax purposes, file any material amended Tax Return, enter into any material closing agreement for Tax purposes, settle or compromise any material Tax liability, surrender any right to claim a material refund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57" w:lineRule="auto"/>
        <w:rPr>
          <w:sz w:val="20"/>
          <w:szCs w:val="20"/>
          <w:color w:val="auto"/>
        </w:rPr>
      </w:pPr>
      <w:r>
        <w:rPr>
          <w:rFonts w:ascii="Times New Roman" w:cs="Times New Roman" w:eastAsia="Times New Roman" w:hAnsi="Times New Roman"/>
          <w:sz w:val="22"/>
          <w:szCs w:val="22"/>
          <w:color w:val="auto"/>
        </w:rPr>
        <w:t>Taxes, or consent to any extension or waiver of the limitation period applicable to any material Tax claim or assessment relating to the Company if such action could reasonably be expected to materially increase taxes in any Taxable period beginning on or after the Closing Date;</w:t>
      </w:r>
    </w:p>
    <w:p>
      <w:pPr>
        <w:spacing w:after="0" w:line="186" w:lineRule="exact"/>
        <w:rPr>
          <w:sz w:val="20"/>
          <w:szCs w:val="20"/>
          <w:color w:val="auto"/>
        </w:rPr>
      </w:pPr>
    </w:p>
    <w:p>
      <w:pPr>
        <w:jc w:val="both"/>
        <w:ind w:firstLine="2600"/>
        <w:spacing w:after="0" w:line="257" w:lineRule="auto"/>
        <w:tabs>
          <w:tab w:leader="none" w:pos="306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ordinary course of business, consistent with past practice, grant or acquire, agree to grant to or acquire from any Person, or dispose of or permit to lapse any rights to any Intellectual Property material to the Company (to the extent currently used in the business);</w:t>
      </w:r>
    </w:p>
    <w:p>
      <w:pPr>
        <w:spacing w:after="0" w:line="172" w:lineRule="exact"/>
        <w:rPr>
          <w:rFonts w:ascii="Times New Roman" w:cs="Times New Roman" w:eastAsia="Times New Roman" w:hAnsi="Times New Roman"/>
          <w:sz w:val="22"/>
          <w:szCs w:val="22"/>
          <w:color w:val="auto"/>
        </w:rPr>
      </w:pPr>
    </w:p>
    <w:p>
      <w:pPr>
        <w:jc w:val="both"/>
        <w:ind w:firstLine="2600"/>
        <w:spacing w:after="0" w:line="281" w:lineRule="auto"/>
        <w:tabs>
          <w:tab w:leader="none" w:pos="312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assume, incur, or guarantee any Indebtedness, except for: (A) Indebtedness incurred in the ordinary course of business, consistent with past practice; and (B) Indebtedness incurred under letters of credit entered into in the ordinary course of business, consistent with past practice, and accelerate the repayment of any existing Indebtedness;</w:t>
      </w:r>
    </w:p>
    <w:p>
      <w:pPr>
        <w:spacing w:after="0" w:line="150" w:lineRule="exact"/>
        <w:rPr>
          <w:rFonts w:ascii="Times New Roman" w:cs="Times New Roman" w:eastAsia="Times New Roman" w:hAnsi="Times New Roman"/>
          <w:sz w:val="21"/>
          <w:szCs w:val="21"/>
          <w:color w:val="auto"/>
        </w:rPr>
      </w:pPr>
    </w:p>
    <w:p>
      <w:pPr>
        <w:jc w:val="both"/>
        <w:ind w:firstLine="2600"/>
        <w:spacing w:after="0" w:line="252" w:lineRule="auto"/>
        <w:tabs>
          <w:tab w:leader="none" w:pos="330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compromise, discharge, waive, release, assign or agree to settle or enter into any waiver, release, assignment, compromise or settlement of any pending or threatened litigation, investigation, arbitration or proceeding other than those that do not involve the payment by the Company of monetary damages in excess of US$100,000 in any individual instance, or US$300,000 in the aggregate;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surrender, allow to expire or fail to renew, any Permits material to the Company;</w:t>
      </w:r>
    </w:p>
    <w:p>
      <w:pPr>
        <w:spacing w:after="0" w:line="233" w:lineRule="exact"/>
        <w:rPr>
          <w:rFonts w:ascii="Times New Roman" w:cs="Times New Roman" w:eastAsia="Times New Roman" w:hAnsi="Times New Roman"/>
          <w:sz w:val="22"/>
          <w:szCs w:val="22"/>
          <w:color w:val="auto"/>
        </w:rPr>
      </w:pPr>
    </w:p>
    <w:p>
      <w:pPr>
        <w:jc w:val="both"/>
        <w:ind w:firstLine="2600"/>
        <w:spacing w:after="0" w:line="257" w:lineRule="auto"/>
        <w:tabs>
          <w:tab w:leader="none" w:pos="336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any “mass layoff,” as defined in the applicable PRC Laws, but excluding any proposed termination, transition or transfer of certain Company employees according to such name list as shall be agreed between the Parties in writing after the date hereof (collectively, the “</w:t>
      </w:r>
      <w:r>
        <w:rPr>
          <w:rFonts w:ascii="Times New Roman" w:cs="Times New Roman" w:eastAsia="Times New Roman" w:hAnsi="Times New Roman"/>
          <w:sz w:val="22"/>
          <w:szCs w:val="22"/>
          <w:u w:val="single" w:color="auto"/>
          <w:color w:val="auto"/>
        </w:rPr>
        <w:t>Excluded Employees</w:t>
      </w:r>
      <w:r>
        <w:rPr>
          <w:rFonts w:ascii="Times New Roman" w:cs="Times New Roman" w:eastAsia="Times New Roman" w:hAnsi="Times New Roman"/>
          <w:sz w:val="22"/>
          <w:szCs w:val="22"/>
          <w:color w:val="auto"/>
        </w:rPr>
        <w:t>”); or</w:t>
      </w:r>
    </w:p>
    <w:p>
      <w:pPr>
        <w:spacing w:after="0" w:line="172" w:lineRule="exact"/>
        <w:rPr>
          <w:rFonts w:ascii="Times New Roman" w:cs="Times New Roman" w:eastAsia="Times New Roman" w:hAnsi="Times New Roman"/>
          <w:sz w:val="22"/>
          <w:szCs w:val="22"/>
          <w:color w:val="auto"/>
        </w:rPr>
      </w:pPr>
    </w:p>
    <w:p>
      <w:pPr>
        <w:ind w:left="3180" w:hanging="580"/>
        <w:spacing w:after="0"/>
        <w:tabs>
          <w:tab w:leader="none" w:pos="31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to take any of the foregoing actions.</w:t>
      </w:r>
    </w:p>
    <w:p>
      <w:pPr>
        <w:spacing w:after="0" w:line="220"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Access to Information; Confidentiality</w:t>
      </w:r>
    </w:p>
    <w:p>
      <w:pPr>
        <w:spacing w:after="0" w:line="233" w:lineRule="exact"/>
        <w:rPr>
          <w:sz w:val="20"/>
          <w:szCs w:val="20"/>
          <w:color w:val="auto"/>
        </w:rPr>
      </w:pPr>
    </w:p>
    <w:p>
      <w:pPr>
        <w:jc w:val="both"/>
        <w:ind w:firstLine="1952"/>
        <w:spacing w:after="0" w:line="259" w:lineRule="auto"/>
        <w:tabs>
          <w:tab w:leader="none" w:pos="2479"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Interim Period, and subject to compliance with applicable Law and this </w:t>
      </w:r>
      <w:r>
        <w:rPr>
          <w:rFonts w:ascii="Times New Roman" w:cs="Times New Roman" w:eastAsia="Times New Roman" w:hAnsi="Times New Roman"/>
          <w:sz w:val="21"/>
          <w:szCs w:val="21"/>
          <w:u w:val="single" w:color="auto"/>
          <w:color w:val="auto"/>
        </w:rPr>
        <w:t>Section 5.2(a)</w:t>
      </w:r>
      <w:r>
        <w:rPr>
          <w:rFonts w:ascii="Times New Roman" w:cs="Times New Roman" w:eastAsia="Times New Roman" w:hAnsi="Times New Roman"/>
          <w:sz w:val="21"/>
          <w:szCs w:val="21"/>
          <w:color w:val="auto"/>
        </w:rPr>
        <w:t xml:space="preserve">, Seller shall give Purchaser and its Representatives reasonable access during regular business hours to the properties, books and records of the Company at the request of Purchaser, with reasonable prior notice to Seller, in connection with the transactions contemplated 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Purchaser and its Representatives shall conduct any such activities in such a manner as not to unreasonably interfere with the business or operations of Seller and the Company. All contacts with any employee of the Company must be requested in writing by Purchaser and must first be approved by and coordinated through the executive officers of Seller (or their designee(s)), which approval shall not be unreasonably withheld or delayed. In no event shall Seller be obligated to provide: (i) such access or information if Seller determines, in its reasonable judgment, that doing so may:</w:t>
      </w:r>
    </w:p>
    <w:p>
      <w:pPr>
        <w:spacing w:after="0" w:line="4" w:lineRule="exact"/>
        <w:rPr>
          <w:rFonts w:ascii="Times New Roman" w:cs="Times New Roman" w:eastAsia="Times New Roman" w:hAnsi="Times New Roman"/>
          <w:sz w:val="21"/>
          <w:szCs w:val="21"/>
          <w:color w:val="auto"/>
        </w:rPr>
      </w:pPr>
    </w:p>
    <w:p>
      <w:pPr>
        <w:ind w:firstLine="8"/>
        <w:spacing w:after="0" w:line="248" w:lineRule="auto"/>
        <w:tabs>
          <w:tab w:leader="none" w:pos="35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applicable Law, an Order, a Contract or any other obligation of confidentiality or any other obligation owing to a third Person (including those relating to sensitive and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0" w:lineRule="auto"/>
        <w:rPr>
          <w:sz w:val="20"/>
          <w:szCs w:val="20"/>
          <w:color w:val="auto"/>
        </w:rPr>
      </w:pPr>
      <w:r>
        <w:rPr>
          <w:rFonts w:ascii="Times New Roman" w:cs="Times New Roman" w:eastAsia="Times New Roman" w:hAnsi="Times New Roman"/>
          <w:sz w:val="22"/>
          <w:szCs w:val="22"/>
          <w:color w:val="auto"/>
        </w:rPr>
        <w:t>information); or (B) jeopardize the protection of the attorney-client privilege or any other privilege or immunity; or (ii) any portion of any Tax Return (or supporting work papers or documents related thereto) of, or with respect to, Seller or any of its Affiliates (other than any Tax Return solely and directly related to the Company). In addition, during the Interim Period, Seller may designate any competitively sensitive information provided to Purchaser or its Representatives pursuant to this Agreement as “outside counsel only” and such information shall be given only to the outside counsel of Purchaser and may not be shared, conveyed, summarized or otherwise disclosed in any manner with Purchaser or any of its Subsidiaries or any of their respective Representatives (other than such outside counsel), except as may be expressly agreed in writing by Seller in advance.</w:t>
      </w:r>
    </w:p>
    <w:p>
      <w:pPr>
        <w:spacing w:after="0" w:line="180" w:lineRule="exact"/>
        <w:rPr>
          <w:sz w:val="20"/>
          <w:szCs w:val="20"/>
          <w:color w:val="auto"/>
        </w:rPr>
      </w:pPr>
    </w:p>
    <w:p>
      <w:pPr>
        <w:jc w:val="both"/>
        <w:ind w:firstLine="1952"/>
        <w:spacing w:after="0" w:line="261" w:lineRule="exact"/>
        <w:tabs>
          <w:tab w:leader="none" w:pos="245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that certain Non-Disclosure Agreement, dated as of May 8, 2020, by and between Western Digital Technologies, Inc. and STATS ChipPAC Semiconductor (Jiangyin) Co., Ltd. (</w:t>
      </w:r>
      <w:r>
        <w:rPr>
          <w:rFonts w:ascii="SimSun" w:cs="SimSun" w:eastAsia="SimSun" w:hAnsi="SimSun"/>
          <w:sz w:val="21"/>
          <w:szCs w:val="21"/>
          <w:color w:val="auto"/>
        </w:rPr>
        <w:t>星科金朋半导体（江阴）有限公司</w:t>
      </w:r>
      <w:r>
        <w:rPr>
          <w:rFonts w:ascii="Times New Roman" w:cs="Times New Roman" w:eastAsia="Times New Roman" w:hAnsi="Times New Roman"/>
          <w:sz w:val="21"/>
          <w:szCs w:val="21"/>
          <w:color w:val="auto"/>
        </w:rPr>
        <w:t>), as may be amended, extended or modified from time to time, each Party shall, and shall cause their respective Affiliates to, and shall instruct their respective Representatives to, hold in confidence any and all confidential, proprietary and non-public information and materials, whether in written, verbal, graphic or other form, concerning each other Party, any of their respective Affiliates, the transactions contemplated herein, or any discussion, negotiation or correspondence by any Party or their Affiliates on, prior to or after the date hereof for, relating to or in connection with the transactions contemplated herein (collectively,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except as necessary to perform any of the Party’s obligations under this Agreement or under the Ancillary Documents and except that no Party shall have any obligation hereunder with respect to any Confidential Information that: (i) after the date hereof becomes generally available to the public other than through a breach by the applicable Party, any of its Affiliates or Representatives of their respective obligations hereunder; (ii) is provided to the Party or any of its Affiliates by a third party that was not known to the receiving Party to be bound by any duty of confidentiality to the other Party, (iii) is disclosed as a result of requirement by applicable Law (including stock exchange rules) or by any Governmental Authority or under any subpoena, civil investigative demand or other similar process by a court of competent jurisdiction having jurisdiction over such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legally permissible, the disclosing Party shall give advance written notice of such compelled disclosure to the other Party, and shall cooperate with such other Party in connection with any efforts to prevent or limit the scope of such disclosure;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such disclosing Party shall disclose only that portion of such Confidential Information which such disclosing Party is advised by its counsel is legally required to be disclosed; or (iv) is provided by Seller to certain suppliers, as reasonably agreed by Seller and Purchaser, to facilitate the arrangement of material procurement services for the Company. Notwithstanding the foregoing, a Party may disclose Confidential Information without notice to or consent of the other Party in connection with the enforcement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132" w:name="page133"/>
    <w:bookmarkEnd w:id="132"/>
    <w:p>
      <w:pPr>
        <w:spacing w:after="0" w:line="271" w:lineRule="auto"/>
        <w:rPr>
          <w:sz w:val="20"/>
          <w:szCs w:val="20"/>
          <w:color w:val="auto"/>
        </w:rPr>
      </w:pPr>
      <w:r>
        <w:rPr>
          <w:rFonts w:ascii="Times New Roman" w:cs="Times New Roman" w:eastAsia="Times New Roman" w:hAnsi="Times New Roman"/>
          <w:sz w:val="22"/>
          <w:szCs w:val="22"/>
          <w:color w:val="auto"/>
        </w:rPr>
        <w:t>this Agreement and/or the Ancillary Agreements or the defense of any Action brought by the other Party, any of its Affiliates or any of its Representatives.</w:t>
      </w:r>
    </w:p>
    <w:p>
      <w:pPr>
        <w:spacing w:after="0" w:line="158"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Regulatory Filings; Reasonable Best Efforts</w:t>
      </w:r>
    </w:p>
    <w:p>
      <w:pPr>
        <w:spacing w:after="0" w:line="233" w:lineRule="exact"/>
        <w:rPr>
          <w:sz w:val="20"/>
          <w:szCs w:val="20"/>
          <w:color w:val="auto"/>
        </w:rPr>
      </w:pPr>
    </w:p>
    <w:p>
      <w:pPr>
        <w:jc w:val="both"/>
        <w:ind w:firstLine="1952"/>
        <w:spacing w:after="0" w:line="246" w:lineRule="auto"/>
        <w:tabs>
          <w:tab w:leader="none" w:pos="24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terms and subject to the conditions set forth in this Agreement, each of the Parties shall (and to the extent applicable, shall cause their respective Affiliates and equityholders to) take, or cause to be taken, all actions, to do, or cause to be done, and to assist and cooperate with the other Parties in doing, all things necessary, proper or advisable to consummate and make effective, as promptly as practicable but, in any event, no later than the Longstop Date (as defined below), the transactions contemplated hereby in accordance with the terms of this Agreement, including, without limitation: (i) the obtaining of all necessary Consents under any applicable Laws required to give effect to the terms of this Agreement and consummate the transactions contemplated hereunder; (ii) the taking of all steps as may be necessary to avoid an Action by any Governmental Authority in respect of this Agreement and the consummation of the transactions contemplated hereunder; (iii) the obtaining of all necessary Consents from third parties required to consummate the transactions contemplated hereunder; and (iv) the execution and delivery of any additional instruments necessary to consummate the transactions contemplated hereunder in accordance with the terms of this Agreement and to fully carry out the purposes of this Agreement. Unless otherwise expressly agreed herein, neither Seller nor any of its Affiliates shall be obligated to grant any consideration, or pay any fee or other similar payment, to any third Person from whom Consent is required or requested from or by such third Person in connection with the consummation of the transactions contemplated under this Agreement in order to obtain any such Consent. For the avoidance of doubt, Purchaser shall agree or commit to any and all divestitures, licenses, behavioral remedies, hold separate or similar arrangements, or other remedies, restrictions, limitations or commitments, in each case as a condition to obtaining the PRC Antitrust Clearance in order to consummate and make effective, as promptly as practicable and in any event by the Longstop Date, the transactions contemplated hereby, so long as such remedies, restrictions, limitations or commitments required to be taken by Purchaser shall not materially and adversely impact the economic or business benefits to Purchaser of the transactions contemplated by this Agreement. In addition, upon the terms and subject to the conditions herein provided and subject to the Parties’ (and to the extent applicable, their respective Affiliates’) obligations under applicable Law, none of the Parties hereto shall (and such Parties shall cause, to the extent applicable, their respective Affiliates not to) knowingly take, or cause to be taken, any action that would reasonably be expected to materially delay or prevent the satisfaction by the Longstop Date of the conditions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7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(as the filing obligor for the PRC Antitrust Clearance) undertakes and agrees (and to the extent applicable, shall cause its Affiliates and equity holders to undertake and agree) to prepare and file a set of appropriate filing materials pursuant to the PRC Anti-Monopoly Law with respect to the transactions contemplated by this Agreement as soon as reasonably practicable following the date of this Agreement and in no event later than twenty (20) Business Days following the date of this Agreement and to supply as promptly as practicable any additional information and documentary material that may be requested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57" w:lineRule="auto"/>
        <w:rPr>
          <w:sz w:val="20"/>
          <w:szCs w:val="20"/>
          <w:color w:val="auto"/>
        </w:rPr>
      </w:pPr>
      <w:r>
        <w:rPr>
          <w:rFonts w:ascii="Times New Roman" w:cs="Times New Roman" w:eastAsia="Times New Roman" w:hAnsi="Times New Roman"/>
          <w:sz w:val="22"/>
          <w:szCs w:val="22"/>
          <w:color w:val="auto"/>
        </w:rPr>
        <w:t>to the PRC Anti-Monopoly Law. Purchaser shall have the responsibility for all costs and expenses associated with filings pursuant to the PRC Anti-Monopoly Law, if applicable. Seller shall exercise its best efforts to assist Purchaser in obtaining the PRC Antitrust Clearance.</w:t>
      </w:r>
    </w:p>
    <w:p>
      <w:pPr>
        <w:spacing w:after="0" w:line="186" w:lineRule="exact"/>
        <w:rPr>
          <w:sz w:val="20"/>
          <w:szCs w:val="20"/>
          <w:color w:val="auto"/>
        </w:rPr>
      </w:pPr>
    </w:p>
    <w:p>
      <w:pPr>
        <w:jc w:val="both"/>
        <w:ind w:firstLine="1952"/>
        <w:spacing w:after="0" w:line="251" w:lineRule="auto"/>
        <w:tabs>
          <w:tab w:leader="none" w:pos="24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Purchaser and Seller shall and, to the extent applicable, shall cause their respective Affiliates and equityholders to: (i) respond as promptly as practicable to any inquiries and requests received from SAMR or any other Governmental Authority, as applicable, in connection with the filing in respect of the PRC Antitrust Clearance; and (ii) not extend or cause to be extended any waiting period under the applicable Law or enter into any agreement with SAMR or any other Governmental Authority not to consummate the transactions contemplated by this Agreement, except, in each case, with the prior written consent of the other Party.</w:t>
      </w:r>
    </w:p>
    <w:p>
      <w:pPr>
        <w:spacing w:after="0" w:line="181" w:lineRule="exact"/>
        <w:rPr>
          <w:rFonts w:ascii="Times New Roman" w:cs="Times New Roman" w:eastAsia="Times New Roman" w:hAnsi="Times New Roman"/>
          <w:sz w:val="22"/>
          <w:szCs w:val="22"/>
          <w:color w:val="auto"/>
        </w:rPr>
      </w:pPr>
    </w:p>
    <w:p>
      <w:pPr>
        <w:jc w:val="both"/>
        <w:ind w:firstLine="1952"/>
        <w:spacing w:after="0" w:line="247" w:lineRule="auto"/>
        <w:tabs>
          <w:tab w:leader="none" w:pos="241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and subject to applicable Law, each of Purchaser, on the one hand, and Seller, on the other hand, shall and, to the extent applicable, shall cause their respective Affiliates and equityholders to: (i) promptly notify the other Party of any communication from SAMR or any other Governmental Authority (except with respect to Taxes), as applicable, concerning this Agreement or the transactions contemplated hereby and permit the other Party to review in advance any proposed communication to any of the foregoing; (ii) consult with the other Party prior to participating in any meeting (in-person or virtual), telephonic or video call or discussion with SAMR or any Governmental Authority with respect to any filing, investigation or inquiry concerning this Agreement or the transactions contemplated hereby (except with respect to Taxes), as applicable, and provide the other Party the opportunity to attend and participate in any such meeting (in-person or virtual), telephonic or video call or discussion; (iii) furnish the other Party with copies of all correspondence, filings and written communications (or a reasonably detailed summary of any oral communications) between it and its Representatives, on the one hand, and SAMR or any Governmental Authority, on the other hand, as applicable, with respect to this Agreement or the transactions contemplated hereby (except with respect to Taxes); and (iv) provide a reasonable opportunity to the other Party to review and comment in advance on any filings, letters, presentations, whitepapers and other substantive communications with SAMR or the Governmental Authority in connection with this Agreement or the transactions contemplated hereby and consider, in good faith, any comments on such correspondences, filings and written communications.</w:t>
      </w:r>
    </w:p>
    <w:p>
      <w:pPr>
        <w:spacing w:after="0" w:line="19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1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after the date hereof and in any event prior to the AMR Submission Date, each of Purchaser and Seller shall furnish or cause to be furnished to the Company (for purposes of securing the AMR Approval) and Purchaser (for purposes of securing the SAFE Registration Voucher) all executed application forms and all supporting documents and such other documents as the relevant Governmental Authority may require for obtaining AMR Approval and the SAFE Registration Voucher.</w:t>
      </w:r>
    </w:p>
    <w:p>
      <w:pPr>
        <w:spacing w:after="0" w:line="180"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2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AMR Submission Date, (i) the Company (in the presence of Purchaser’s Representative (to the extent permitted by SAMR and/or the Company Capital Account Bank), either in person or virtually, shall submit to SAMR and the Company Capital Account Bank for pre-review of the Registration ETA and the relevant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47" w:lineRule="auto"/>
        <w:rPr>
          <w:sz w:val="20"/>
          <w:szCs w:val="20"/>
          <w:color w:val="auto"/>
        </w:rPr>
      </w:pPr>
      <w:r>
        <w:rPr>
          <w:rFonts w:ascii="Times New Roman" w:cs="Times New Roman" w:eastAsia="Times New Roman" w:hAnsi="Times New Roman"/>
          <w:sz w:val="22"/>
          <w:szCs w:val="22"/>
          <w:color w:val="auto"/>
        </w:rPr>
        <w:t>documents (the “</w:t>
      </w:r>
      <w:r>
        <w:rPr>
          <w:rFonts w:ascii="Times New Roman" w:cs="Times New Roman" w:eastAsia="Times New Roman" w:hAnsi="Times New Roman"/>
          <w:sz w:val="22"/>
          <w:szCs w:val="22"/>
          <w:u w:val="single" w:color="auto"/>
          <w:color w:val="auto"/>
        </w:rPr>
        <w:t>Application Documents</w:t>
      </w:r>
      <w:r>
        <w:rPr>
          <w:rFonts w:ascii="Times New Roman" w:cs="Times New Roman" w:eastAsia="Times New Roman" w:hAnsi="Times New Roman"/>
          <w:sz w:val="22"/>
          <w:szCs w:val="22"/>
          <w:color w:val="auto"/>
        </w:rPr>
        <w:t xml:space="preserve">”) required to apply for the AMR Approval and the SAFE Registration Voucher, respectively, and (ii) to the extent the Application Documents are amended consistent with this </w:t>
      </w:r>
      <w:r>
        <w:rPr>
          <w:rFonts w:ascii="Times New Roman" w:cs="Times New Roman" w:eastAsia="Times New Roman" w:hAnsi="Times New Roman"/>
          <w:sz w:val="22"/>
          <w:szCs w:val="22"/>
          <w:u w:val="single" w:color="auto"/>
          <w:color w:val="auto"/>
        </w:rPr>
        <w:t>Section 5.3(f)</w:t>
      </w:r>
      <w:r>
        <w:rPr>
          <w:rFonts w:ascii="Times New Roman" w:cs="Times New Roman" w:eastAsia="Times New Roman" w:hAnsi="Times New Roman"/>
          <w:sz w:val="22"/>
          <w:szCs w:val="22"/>
          <w:color w:val="auto"/>
        </w:rPr>
        <w:t xml:space="preserve">, the Company shall further consult with SAMR and the Company Capital Account Bank to confirm that such amendments are sufficient to satisfy the requirements of SAMR and/or the Company Capital Account Bank. If the relevant Governmental Authority and/or the Company Capital Account Bank requires any amendment (including, for purpose of this </w:t>
      </w:r>
      <w:r>
        <w:rPr>
          <w:rFonts w:ascii="Times New Roman" w:cs="Times New Roman" w:eastAsia="Times New Roman" w:hAnsi="Times New Roman"/>
          <w:sz w:val="22"/>
          <w:szCs w:val="22"/>
          <w:u w:val="single" w:color="auto"/>
          <w:color w:val="auto"/>
        </w:rPr>
        <w:t>Section 5.3(f)</w:t>
      </w:r>
      <w:r>
        <w:rPr>
          <w:rFonts w:ascii="Times New Roman" w:cs="Times New Roman" w:eastAsia="Times New Roman" w:hAnsi="Times New Roman"/>
          <w:sz w:val="22"/>
          <w:szCs w:val="22"/>
          <w:color w:val="auto"/>
        </w:rPr>
        <w:t>, any supplement) to the Registration ETA and the Application Documents and if, in the reasonable view of Purchaser or Seller, such amendment is materially inconsistent with, or represents substantive terms in addition to, the terms of this Agreement or the Ancillary Agreements, then the Parties shall immediately consult in good faith with each other to determine whether to make the requested amendment (for the avoidance of doubt, neither Party shall be obligated to agree to such amendment). If the Parties agree to make the requested amendment, the Parties shall, as soon as possible, take such steps as are reasonable to amend this Agreement, the Ancillary Agreements and any other documents necessary to give effect to the requested amendment. Otherwise, if the relevant Governmental Authority and/or the Company Capital Account Bank requires any amendment to the Registration ETA and the Application Documents and if, in the reasonable view of Purchaser and Seller, such amendment is not materially inconsistent with, nor represents substantive terms in addition to, the terms of this Agreement or the Ancillary Agreements, then the Parties shall, as soon as possible, take such steps as are reasonable in order to amend the Registration ETA and/or the Application Documents to incorporate the requested amendment</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both"/>
        <w:ind w:firstLine="1952"/>
        <w:spacing w:after="0" w:line="253" w:lineRule="auto"/>
        <w:tabs>
          <w:tab w:leader="none" w:pos="24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Purchaser’s compliance with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5.3(e)</w:t>
      </w:r>
      <w:r>
        <w:rPr>
          <w:rFonts w:ascii="Times New Roman" w:cs="Times New Roman" w:eastAsia="Times New Roman" w:hAnsi="Times New Roman"/>
          <w:sz w:val="22"/>
          <w:szCs w:val="22"/>
          <w:color w:val="auto"/>
        </w:rPr>
        <w:t xml:space="preserve">, within three (3) Business Days following the satisfaction or waiver of the conditions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Seller shall cause the Company to, as soon as practicable, and the Parties shall, exercise their respective best efforts to, submit to the competent SAMR all executed application forms and all supporting documents and such other documents as the relevant Governmental Authority may require for the purpose of obtaining the AMR Approval.</w:t>
      </w:r>
    </w:p>
    <w:p>
      <w:pPr>
        <w:spacing w:after="0" w:line="178"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7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(1) Business Day after the AMR Approval is obtained, the Parties shall cause the Company to, as soon as practicable, submit to the Company Capital Account Bank all executed application forms and all supporting documents and such other documents as the relevant Governmental Authority may require for the purpose of obtaining the SAFE Registration Voucher.</w:t>
      </w:r>
    </w:p>
    <w:p>
      <w:pPr>
        <w:spacing w:after="0" w:line="176" w:lineRule="exact"/>
        <w:rPr>
          <w:rFonts w:ascii="Times New Roman" w:cs="Times New Roman" w:eastAsia="Times New Roman" w:hAnsi="Times New Roman"/>
          <w:sz w:val="22"/>
          <w:szCs w:val="22"/>
          <w:color w:val="auto"/>
        </w:rPr>
      </w:pPr>
    </w:p>
    <w:p>
      <w:pPr>
        <w:jc w:val="both"/>
        <w:ind w:firstLine="1952"/>
        <w:spacing w:after="0" w:line="263" w:lineRule="exact"/>
        <w:tabs>
          <w:tab w:leader="none" w:pos="239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after the PRC Antitrust Clearance has been obtained, but in any event no later than five (5) Business Days after the AMR Approval is obtained, Purchaser shall make the tax filing with competent Taxing Authority for overseas payment for trade in services and other items (</w:t>
      </w:r>
      <w:r>
        <w:rPr>
          <w:rFonts w:ascii="SimSun" w:cs="SimSun" w:eastAsia="SimSun" w:hAnsi="SimSun"/>
          <w:sz w:val="22"/>
          <w:szCs w:val="22"/>
          <w:color w:val="auto"/>
        </w:rPr>
        <w:t>服务贸易等项目对外支付税务备案</w:t>
      </w:r>
      <w:r>
        <w:rPr>
          <w:rFonts w:ascii="Times New Roman" w:cs="Times New Roman" w:eastAsia="Times New Roman" w:hAnsi="Times New Roman"/>
          <w:sz w:val="22"/>
          <w:szCs w:val="22"/>
          <w:color w:val="auto"/>
        </w:rPr>
        <w:t>) and, within five (5) Business Days after receipt of such form, provide Seller with a copy of the Tax filing form for overseas payment for trade in services and other items (</w:t>
      </w:r>
      <w:r>
        <w:rPr>
          <w:rFonts w:ascii="SimSun" w:cs="SimSun" w:eastAsia="SimSun" w:hAnsi="SimSun"/>
          <w:sz w:val="22"/>
          <w:szCs w:val="22"/>
          <w:color w:val="auto"/>
        </w:rPr>
        <w:t>服务贸易等项目对外支付税务备案表</w:t>
      </w:r>
      <w:r>
        <w:rPr>
          <w:rFonts w:ascii="Times New Roman" w:cs="Times New Roman" w:eastAsia="Times New Roman" w:hAnsi="Times New Roman"/>
          <w:sz w:val="22"/>
          <w:szCs w:val="22"/>
          <w:color w:val="auto"/>
        </w:rPr>
        <w:t>) affixed with the relevant Taxing Authority’s seal (or any equivalent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1" w:right="339" w:bottom="1440" w:gutter="0" w:footer="0" w:header="0"/>
        </w:sectPr>
      </w:pPr>
    </w:p>
    <w:bookmarkStart w:id="135" w:name="page136"/>
    <w:bookmarkEnd w:id="135"/>
    <w:p>
      <w:pPr>
        <w:spacing w:after="0" w:line="271" w:lineRule="auto"/>
        <w:rPr>
          <w:sz w:val="20"/>
          <w:szCs w:val="20"/>
          <w:color w:val="auto"/>
        </w:rPr>
      </w:pPr>
      <w:r>
        <w:rPr>
          <w:rFonts w:ascii="Times New Roman" w:cs="Times New Roman" w:eastAsia="Times New Roman" w:hAnsi="Times New Roman"/>
          <w:sz w:val="22"/>
          <w:szCs w:val="22"/>
          <w:color w:val="auto"/>
        </w:rPr>
        <w:t>including but not limited to an electronic copy of the Tax Return and settlement certificate generated by the online Tax filing system).</w:t>
      </w:r>
    </w:p>
    <w:p>
      <w:pPr>
        <w:spacing w:after="0" w:line="158" w:lineRule="exact"/>
        <w:rPr>
          <w:sz w:val="20"/>
          <w:szCs w:val="20"/>
          <w:color w:val="auto"/>
        </w:rPr>
      </w:pPr>
    </w:p>
    <w:p>
      <w:pPr>
        <w:jc w:val="both"/>
        <w:ind w:firstLine="1952"/>
        <w:spacing w:after="0" w:line="250" w:lineRule="auto"/>
        <w:tabs>
          <w:tab w:leader="none" w:pos="236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use their best efforts to take, or cause to be taken, all appropriate action, and to do, or cause to be done, and to assist and cooperate with the other Parties in doing, all things necessary, proper or advisable under applicable Laws or otherwise to consummate and make effective the transaction contemplated in this Section, including, without limitation, (i) employing such resources as are necessary or desirable to obtain the AMR Approval and the SAFE Registration Voucher and cause the Purchase Price to be converted into US$ by a third-party financial institution or Person and paid to the Seller’s Account, and (ii) taking any and all steps necessary or desirable to avoid or eliminate each and every impediment under applicable Laws that may be asserted by any Governmental Authority so as to enable the Parties to expeditiously consummate the transactions contemplated by this Agreement.</w:t>
      </w:r>
    </w:p>
    <w:p>
      <w:pPr>
        <w:spacing w:after="0" w:line="187"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Closing Conditions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During the Interim Period, each Party hereto shall, and Seller shall cause the Company to, use commercially reasonable efforts to take such actions as are necessary to expeditiously satisfy the closing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hereof, including, without limitation, negotiating the Ancillary Agreements in good faith to the extent the form thereof has not been agreed as of the date hereof.</w:t>
      </w:r>
    </w:p>
    <w:p>
      <w:pPr>
        <w:spacing w:after="0" w:line="17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No Amendment to Letters of Guarantee</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Purchaser shall (a) maintain in full force and effect each Letter of Guarantee and (b) satisfy, or cause to be satisfied, on a timely basis all conditions to the funding under the applicable Letter of Guarantee. Without limiting the generality of the foregoing, without the prior written consent of Seller, Purchaser shall not, and shall cause its Affiliates not to, (i) amend, modify, withdraw, waive or terminate the Letters of Guarantee, or (ii) enter into or modify any other Contract relating to the transactions contemplated hereby in a manner that (y) would be inconsistent with the terms of this Agreement and any other agreements relating to the transactions contemplated hereby, or (z) would or would reasonably be expected to prevent or impede, interfere with, hinder or delay (A) the consummation by Purchaser of the transactions contemplated hereby or (B) the compliance by Purchaser of its obligations under this Agreement. Purchaser will, and will cause each of its Affiliates to, deliver to Seller within one (1) Business Day upon receipt, any notification received by Purchaser from the Purchaser Guarantor regarding adjustment to guarantee amount, termination, withdrawal or other material amendments to the Letter of Guarantee.</w:t>
      </w:r>
    </w:p>
    <w:p>
      <w:pPr>
        <w:spacing w:after="0" w:line="172"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Employee Benefits</w:t>
      </w:r>
    </w:p>
    <w:p>
      <w:pPr>
        <w:spacing w:after="0" w:line="220" w:lineRule="exact"/>
        <w:rPr>
          <w:sz w:val="20"/>
          <w:szCs w:val="20"/>
          <w:color w:val="auto"/>
        </w:rPr>
      </w:pPr>
    </w:p>
    <w:p>
      <w:pPr>
        <w:jc w:val="both"/>
        <w:ind w:right="20" w:firstLine="1952"/>
        <w:spacing w:after="0" w:line="266" w:lineRule="auto"/>
        <w:tabs>
          <w:tab w:leader="none" w:pos="2456"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five (5)-year period following the Closing, the Parties shall endeavor in good faith to cause the Company to provide each employee of the Company as of the Closing Date (collectively, the “</w:t>
      </w:r>
      <w:r>
        <w:rPr>
          <w:rFonts w:ascii="Times New Roman" w:cs="Times New Roman" w:eastAsia="Times New Roman" w:hAnsi="Times New Roman"/>
          <w:sz w:val="21"/>
          <w:szCs w:val="21"/>
          <w:u w:val="single" w:color="auto"/>
          <w:color w:val="auto"/>
        </w:rPr>
        <w:t>Company Employees</w:t>
      </w:r>
      <w:r>
        <w:rPr>
          <w:rFonts w:ascii="Times New Roman" w:cs="Times New Roman" w:eastAsia="Times New Roman" w:hAnsi="Times New Roman"/>
          <w:sz w:val="21"/>
          <w:szCs w:val="21"/>
          <w:color w:val="auto"/>
        </w:rPr>
        <w:t>”) with:</w:t>
      </w:r>
    </w:p>
    <w:p>
      <w:pPr>
        <w:spacing w:after="0" w:line="1" w:lineRule="exact"/>
        <w:rPr>
          <w:rFonts w:ascii="Times New Roman" w:cs="Times New Roman" w:eastAsia="Times New Roman" w:hAnsi="Times New Roman"/>
          <w:sz w:val="21"/>
          <w:szCs w:val="21"/>
          <w:color w:val="auto"/>
        </w:rPr>
      </w:pPr>
    </w:p>
    <w:p>
      <w:pPr>
        <w:ind w:right="20" w:firstLine="8"/>
        <w:spacing w:after="0" w:line="261" w:lineRule="auto"/>
        <w:tabs>
          <w:tab w:leader="none" w:pos="26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and target bonus opportunities that are substantially similar to or better than each such Company Employee’s base salary and target bonus opportunities prior to the Closing; and (ii) all other compensation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72" w:lineRule="auto"/>
        <w:rPr>
          <w:sz w:val="20"/>
          <w:szCs w:val="20"/>
          <w:color w:val="auto"/>
        </w:rPr>
      </w:pPr>
      <w:r>
        <w:rPr>
          <w:rFonts w:ascii="Times New Roman" w:cs="Times New Roman" w:eastAsia="Times New Roman" w:hAnsi="Times New Roman"/>
          <w:sz w:val="21"/>
          <w:szCs w:val="21"/>
          <w:color w:val="auto"/>
        </w:rPr>
        <w:t>benefits that are, in the aggregate, with respect to each Company Employee, substantially similar to or better than the compensation and benefits provided to such Company Employee under the Employee Benefit Plans immediately prior to the Closing, in each case subject to the satisfaction of the Company’s financial target as agreed between Purchaser and Seller, and the performance review of each such Company Employee in normal course in accordance with the written policies of the Company.</w:t>
      </w:r>
    </w:p>
    <w:p>
      <w:pPr>
        <w:spacing w:after="0" w:line="161" w:lineRule="exact"/>
        <w:rPr>
          <w:sz w:val="20"/>
          <w:szCs w:val="20"/>
          <w:color w:val="auto"/>
        </w:rPr>
      </w:pPr>
    </w:p>
    <w:p>
      <w:pPr>
        <w:ind w:left="2420" w:hanging="468"/>
        <w:spacing w:after="0"/>
        <w:tabs>
          <w:tab w:leader="none" w:pos="24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WDC RSUs (as defined below) held by the Company Employees shall be treated as follows:</w:t>
      </w:r>
    </w:p>
    <w:p>
      <w:pPr>
        <w:spacing w:after="0" w:line="219" w:lineRule="exact"/>
        <w:rPr>
          <w:rFonts w:ascii="Times New Roman" w:cs="Times New Roman" w:eastAsia="Times New Roman" w:hAnsi="Times New Roman"/>
          <w:sz w:val="22"/>
          <w:szCs w:val="22"/>
          <w:color w:val="auto"/>
        </w:rPr>
      </w:pPr>
    </w:p>
    <w:p>
      <w:pPr>
        <w:jc w:val="both"/>
        <w:ind w:firstLine="2600"/>
        <w:spacing w:after="0" w:line="263" w:lineRule="auto"/>
        <w:tabs>
          <w:tab w:leader="none" w:pos="303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At or immediately prior to the Closing, each award of Western Digital Corporation restricted stock units (each such unit, a “</w:t>
      </w:r>
      <w:r>
        <w:rPr>
          <w:rFonts w:ascii="Times New Roman" w:cs="Times New Roman" w:eastAsia="Times New Roman" w:hAnsi="Times New Roman"/>
          <w:sz w:val="22"/>
          <w:szCs w:val="22"/>
          <w:u w:val="single" w:color="auto"/>
          <w:color w:val="auto"/>
        </w:rPr>
        <w:t>WDC RSU</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WDC RSUs</w:t>
      </w:r>
      <w:r>
        <w:rPr>
          <w:rFonts w:ascii="Times New Roman" w:cs="Times New Roman" w:eastAsia="Times New Roman" w:hAnsi="Times New Roman"/>
          <w:sz w:val="22"/>
          <w:szCs w:val="22"/>
          <w:color w:val="auto"/>
        </w:rPr>
        <w:t>”) held by a Company Employee that is then outstanding and unvested shall automatically be canceled in accordance with the terms and conditions of such WDC RSUs.</w:t>
      </w:r>
    </w:p>
    <w:p>
      <w:pPr>
        <w:spacing w:after="0" w:line="167" w:lineRule="exact"/>
        <w:rPr>
          <w:rFonts w:ascii="Times New Roman" w:cs="Times New Roman" w:eastAsia="Times New Roman" w:hAnsi="Times New Roman"/>
          <w:sz w:val="20"/>
          <w:szCs w:val="20"/>
          <w:color w:val="auto"/>
        </w:rPr>
      </w:pPr>
    </w:p>
    <w:p>
      <w:pPr>
        <w:jc w:val="both"/>
        <w:ind w:firstLine="2600"/>
        <w:spacing w:after="0" w:line="257" w:lineRule="auto"/>
        <w:tabs>
          <w:tab w:leader="none" w:pos="314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the Company Employees who hold any WDC RSUs that are outstanding and vested (but not theretofore settled) as of the Closing (the “</w:t>
      </w:r>
      <w:r>
        <w:rPr>
          <w:rFonts w:ascii="Times New Roman" w:cs="Times New Roman" w:eastAsia="Times New Roman" w:hAnsi="Times New Roman"/>
          <w:sz w:val="22"/>
          <w:szCs w:val="22"/>
          <w:u w:val="single" w:color="auto"/>
          <w:color w:val="auto"/>
        </w:rPr>
        <w:t>Vested WDC RSUs</w:t>
      </w:r>
      <w:r>
        <w:rPr>
          <w:rFonts w:ascii="Times New Roman" w:cs="Times New Roman" w:eastAsia="Times New Roman" w:hAnsi="Times New Roman"/>
          <w:sz w:val="22"/>
          <w:szCs w:val="22"/>
          <w:color w:val="auto"/>
        </w:rPr>
        <w:t>”) shall be entitled to settlement thereof in accordance with their terms.</w:t>
      </w:r>
    </w:p>
    <w:p>
      <w:pPr>
        <w:spacing w:after="0" w:line="172" w:lineRule="exact"/>
        <w:rPr>
          <w:rFonts w:ascii="Times New Roman" w:cs="Times New Roman" w:eastAsia="Times New Roman" w:hAnsi="Times New Roman"/>
          <w:sz w:val="22"/>
          <w:szCs w:val="22"/>
          <w:color w:val="auto"/>
        </w:rPr>
      </w:pPr>
    </w:p>
    <w:p>
      <w:pPr>
        <w:jc w:val="both"/>
        <w:ind w:firstLine="2600"/>
        <w:spacing w:after="0" w:line="248" w:lineRule="auto"/>
        <w:tabs>
          <w:tab w:leader="none" w:pos="322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WDC RSU that is outstanding and not vested as of the Closing (an “</w:t>
      </w:r>
      <w:r>
        <w:rPr>
          <w:rFonts w:ascii="Times New Roman" w:cs="Times New Roman" w:eastAsia="Times New Roman" w:hAnsi="Times New Roman"/>
          <w:sz w:val="22"/>
          <w:szCs w:val="22"/>
          <w:u w:val="single" w:color="auto"/>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WDC RSU</w:t>
      </w:r>
      <w:r>
        <w:rPr>
          <w:rFonts w:ascii="Times New Roman" w:cs="Times New Roman" w:eastAsia="Times New Roman" w:hAnsi="Times New Roman"/>
          <w:sz w:val="22"/>
          <w:szCs w:val="22"/>
          <w:color w:val="auto"/>
        </w:rPr>
        <w:t>”), the Company shall issue new cash-settled awards to the Company Employee (excluding Excluded Employees) (collectively, the “</w:t>
      </w:r>
      <w:r>
        <w:rPr>
          <w:rFonts w:ascii="Times New Roman" w:cs="Times New Roman" w:eastAsia="Times New Roman" w:hAnsi="Times New Roman"/>
          <w:sz w:val="22"/>
          <w:szCs w:val="22"/>
          <w:u w:val="single" w:color="auto"/>
          <w:color w:val="auto"/>
        </w:rPr>
        <w:t>Replacement Cash Awards</w:t>
      </w:r>
      <w:r>
        <w:rPr>
          <w:rFonts w:ascii="Times New Roman" w:cs="Times New Roman" w:eastAsia="Times New Roman" w:hAnsi="Times New Roman"/>
          <w:sz w:val="22"/>
          <w:szCs w:val="22"/>
          <w:color w:val="auto"/>
        </w:rPr>
        <w:t>”) pursuant to a post-Closing cash bonus plan mutually acceptable to Seller and Purchaser (the “</w:t>
      </w:r>
      <w:r>
        <w:rPr>
          <w:rFonts w:ascii="Times New Roman" w:cs="Times New Roman" w:eastAsia="Times New Roman" w:hAnsi="Times New Roman"/>
          <w:sz w:val="22"/>
          <w:szCs w:val="22"/>
          <w:u w:val="single" w:color="auto"/>
          <w:color w:val="auto"/>
        </w:rPr>
        <w:t>Post-Closing Bonus Plan</w:t>
      </w:r>
      <w:r>
        <w:rPr>
          <w:rFonts w:ascii="Times New Roman" w:cs="Times New Roman" w:eastAsia="Times New Roman" w:hAnsi="Times New Roman"/>
          <w:sz w:val="22"/>
          <w:szCs w:val="22"/>
          <w:color w:val="auto"/>
        </w:rPr>
        <w:t>”) to replace such canceled Unvested WDC RSUs. The Replacement Cash Awards issuable to the relevant Company Employees shall (x) have the equivalent cash value of the Unvested WDC RSUs (as determined in accordance with the Post-Closing Bonus Plan), (y) be subject to the same vesting terms and conditions (whether time or performance based) that applied to the Unvested WDC RSUs immediately prior to the Closing Date (provided that there is no substantial change to the terms and conditions of the Unvested WDC RSU after execution of this Agreement unless otherwise agreed to by the Parties in writing), and (z) be payable by the Company to the Company Employee only if and to the extent such vesting conditions are fully satisfied. For avoidance of doubt, the Replacement Cash Awards issuable to Company Employees shall constitute Company Transaction Expenses.</w:t>
      </w:r>
    </w:p>
    <w:p>
      <w:pPr>
        <w:spacing w:after="0" w:line="202"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the Parties shall, or shall cause the Company to, honor all obligations to any Labor Organization and, notwithstanding anything in this Agreement to the contrary, the terms and conditions of employment upon and after the Closing for all employees of the Company represented by a Labor Organization shall be governed by any such obligations.</w:t>
      </w:r>
    </w:p>
    <w:p>
      <w:pPr>
        <w:spacing w:after="0" w:line="179"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47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Company, in its sole discretion, is permitted to: (i) prior to the Closing, pay out bonuses for any completed fiscal year to its employees in the ordinary course of business; and (ii) prior to the Closing, pay to each eligible Excluded Employee a pro rata bonus in respect of its then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1" w:right="339" w:bottom="1440" w:gutter="0" w:footer="0" w:header="0"/>
        </w:sectPr>
      </w:pPr>
    </w:p>
    <w:bookmarkStart w:id="137" w:name="page138"/>
    <w:bookmarkEnd w:id="137"/>
    <w:p>
      <w:pPr>
        <w:spacing w:after="0" w:line="271" w:lineRule="auto"/>
        <w:rPr>
          <w:sz w:val="20"/>
          <w:szCs w:val="20"/>
          <w:color w:val="auto"/>
        </w:rPr>
      </w:pPr>
      <w:r>
        <w:rPr>
          <w:rFonts w:ascii="Times New Roman" w:cs="Times New Roman" w:eastAsia="Times New Roman" w:hAnsi="Times New Roman"/>
          <w:sz w:val="22"/>
          <w:szCs w:val="22"/>
          <w:color w:val="auto"/>
        </w:rPr>
        <w:t>fiscal year through the Closing based on its determination, in good faith, of the amounts earned, based on actual performance through the Closing.</w:t>
      </w:r>
    </w:p>
    <w:p>
      <w:pPr>
        <w:spacing w:after="0" w:line="158" w:lineRule="exact"/>
        <w:rPr>
          <w:sz w:val="20"/>
          <w:szCs w:val="20"/>
          <w:color w:val="auto"/>
        </w:rPr>
      </w:pPr>
    </w:p>
    <w:p>
      <w:pPr>
        <w:jc w:val="both"/>
        <w:ind w:firstLine="1952"/>
        <w:spacing w:after="0" w:line="256" w:lineRule="auto"/>
        <w:tabs>
          <w:tab w:leader="none" w:pos="24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herein, expressed or implied, is intended to confer upon any Company Employee or any other Person any benefits under any benefit plans, programs, policies or other arrangements, and the provisions of this </w:t>
      </w:r>
      <w:r>
        <w:rPr>
          <w:rFonts w:ascii="Times New Roman" w:cs="Times New Roman" w:eastAsia="Times New Roman" w:hAnsi="Times New Roman"/>
          <w:sz w:val="22"/>
          <w:szCs w:val="22"/>
          <w:u w:val="single" w:color="auto"/>
          <w:color w:val="auto"/>
        </w:rPr>
        <w:t>Section 5.6(e)</w:t>
      </w:r>
      <w:r>
        <w:rPr>
          <w:rFonts w:ascii="Times New Roman" w:cs="Times New Roman" w:eastAsia="Times New Roman" w:hAnsi="Times New Roman"/>
          <w:sz w:val="22"/>
          <w:szCs w:val="22"/>
          <w:color w:val="auto"/>
        </w:rPr>
        <w:t xml:space="preserve"> are solely for the benefit of the Parties to this Agreement. No provision of this Agreement shall guarantee any future employment of any Company Employee.</w:t>
      </w:r>
    </w:p>
    <w:p>
      <w:pPr>
        <w:spacing w:after="0" w:line="17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Public Announcements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 Party shall make, or cause to be made, any press release or public announcement in respect of the negotiations of the Parties or the subject matter or provisions of this Agreement, the Ancillary Agreements or the transactions contemplated hereby or thereby or otherwise communicate with any news media without the prior written consent of the other Party (which consent shall not be unreasonably withheld, delayed or conditioned) unless otherwise required by Law or applicable stock exchange regulation (based upon the reasonable advice of counsel), and the Parties shall cooperate as to the timing and contents of any such press release, public announcement or communication.</w:t>
      </w:r>
    </w:p>
    <w:p>
      <w:pPr>
        <w:spacing w:after="0" w:line="181"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u w:val="single" w:color="auto"/>
          <w:color w:val="auto"/>
        </w:rPr>
        <w:t>Further Assurances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At and after the Closing Date, each of Purchaser and Seller shall use its best efforts from time to time to execute and deliver at the reasonable request of the other Party or at the request of any Governmental Authority such additional documents and instruments, and to take, or refrain from taking, such other actions, as may be reasonably required to give effect to this Agreement and the transactions contemplated hereby, which shall include, without limitation, any documents, instruments or actions reasonably required to cause the Purchase Price to be converted into U.S. Dollar and paid to the Seller’s Account.</w:t>
      </w:r>
    </w:p>
    <w:p>
      <w:pPr>
        <w:spacing w:after="0" w:line="194"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Notification of Certain Matters</w:t>
      </w:r>
    </w:p>
    <w:p>
      <w:pPr>
        <w:spacing w:after="0" w:line="220" w:lineRule="exact"/>
        <w:rPr>
          <w:sz w:val="20"/>
          <w:szCs w:val="20"/>
          <w:color w:val="auto"/>
        </w:rPr>
      </w:pPr>
    </w:p>
    <w:p>
      <w:pPr>
        <w:ind w:left="2400" w:hanging="448"/>
        <w:spacing w:after="0"/>
        <w:tabs>
          <w:tab w:leader="none" w:pos="24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Interim Period, Seller shall give prompt notice to Purchaser in writing if:</w:t>
      </w:r>
    </w:p>
    <w:p>
      <w:pPr>
        <w:spacing w:after="0" w:line="219" w:lineRule="exact"/>
        <w:rPr>
          <w:rFonts w:ascii="Times New Roman" w:cs="Times New Roman" w:eastAsia="Times New Roman" w:hAnsi="Times New Roman"/>
          <w:sz w:val="22"/>
          <w:szCs w:val="22"/>
          <w:color w:val="auto"/>
        </w:rPr>
      </w:pPr>
    </w:p>
    <w:p>
      <w:pPr>
        <w:jc w:val="both"/>
        <w:ind w:firstLine="2600"/>
        <w:spacing w:after="0" w:line="266" w:lineRule="auto"/>
        <w:tabs>
          <w:tab w:leader="none" w:pos="3150" w:val="left"/>
        </w:tabs>
        <w:numPr>
          <w:ilvl w:val="2"/>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Seller becomes aware of any representation or warranty contained in this Agreement becoming untrue or inaccurate such that the conditions set forth in either </w:t>
      </w:r>
      <w:r>
        <w:rPr>
          <w:rFonts w:ascii="Times New Roman" w:cs="Times New Roman" w:eastAsia="Times New Roman" w:hAnsi="Times New Roman"/>
          <w:sz w:val="21"/>
          <w:szCs w:val="21"/>
          <w:u w:val="single" w:color="auto"/>
          <w:color w:val="auto"/>
        </w:rPr>
        <w:t>Section 6.5(a)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6.6(a)</w:t>
      </w:r>
      <w:r>
        <w:rPr>
          <w:rFonts w:ascii="Times New Roman" w:cs="Times New Roman" w:eastAsia="Times New Roman" w:hAnsi="Times New Roman"/>
          <w:sz w:val="21"/>
          <w:szCs w:val="21"/>
          <w:color w:val="auto"/>
        </w:rPr>
        <w:t xml:space="preserve"> would not be satisfied or</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Seller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1" w:right="339" w:bottom="1440" w:gutter="0" w:footer="0" w:header="0"/>
        </w:sectPr>
      </w:pPr>
    </w:p>
    <w:bookmarkStart w:id="138" w:name="page139"/>
    <w:bookmarkEnd w:id="138"/>
    <w:p>
      <w:pPr>
        <w:spacing w:after="0" w:line="271" w:lineRule="auto"/>
        <w:rPr>
          <w:sz w:val="20"/>
          <w:szCs w:val="20"/>
          <w:color w:val="auto"/>
        </w:rPr>
      </w:pPr>
      <w:r>
        <w:rPr>
          <w:rFonts w:ascii="Times New Roman" w:cs="Times New Roman" w:eastAsia="Times New Roman" w:hAnsi="Times New Roman"/>
          <w:sz w:val="22"/>
          <w:szCs w:val="22"/>
          <w:color w:val="auto"/>
        </w:rPr>
        <w:t xml:space="preserve">Company to comply with any covenant or agreement to be complied with by it under this Agreement such that the conditions set forth in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 xml:space="preserve"> would not be satisfied; or</w:t>
      </w:r>
    </w:p>
    <w:p>
      <w:pPr>
        <w:spacing w:after="0" w:line="158" w:lineRule="exact"/>
        <w:rPr>
          <w:sz w:val="20"/>
          <w:szCs w:val="20"/>
          <w:color w:val="auto"/>
        </w:rPr>
      </w:pPr>
    </w:p>
    <w:p>
      <w:pPr>
        <w:ind w:firstLine="2600"/>
        <w:spacing w:after="0" w:line="284" w:lineRule="auto"/>
        <w:tabs>
          <w:tab w:leader="none" w:pos="3072"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becomes aware of the occurrence or existence of any event, development or change that has had, or would have a Company Material Adverse Effect.</w:t>
      </w:r>
    </w:p>
    <w:p>
      <w:pPr>
        <w:spacing w:after="0" w:line="14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Interim Period, Purchaser shall give prompt notice to Seller in writing if:</w:t>
      </w:r>
    </w:p>
    <w:p>
      <w:pPr>
        <w:spacing w:after="0" w:line="219" w:lineRule="exact"/>
        <w:rPr>
          <w:rFonts w:ascii="Times New Roman" w:cs="Times New Roman" w:eastAsia="Times New Roman" w:hAnsi="Times New Roman"/>
          <w:sz w:val="22"/>
          <w:szCs w:val="22"/>
          <w:color w:val="auto"/>
        </w:rPr>
      </w:pPr>
    </w:p>
    <w:p>
      <w:pPr>
        <w:jc w:val="both"/>
        <w:ind w:firstLine="2600"/>
        <w:spacing w:after="0" w:line="254" w:lineRule="auto"/>
        <w:tabs>
          <w:tab w:leader="none" w:pos="3062"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Purchaser becomes aware of any representation or warranty contained in this Agreement becoming untrue or inaccurate such that the conditions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would not be satisfied or</w:t>
      </w:r>
    </w:p>
    <w:p>
      <w:pPr>
        <w:spacing w:after="0" w:line="1" w:lineRule="exact"/>
        <w:rPr>
          <w:rFonts w:ascii="Times New Roman" w:cs="Times New Roman" w:eastAsia="Times New Roman" w:hAnsi="Times New Roman"/>
          <w:sz w:val="22"/>
          <w:szCs w:val="22"/>
          <w:color w:val="auto"/>
        </w:rPr>
      </w:pPr>
    </w:p>
    <w:p>
      <w:pPr>
        <w:ind w:firstLine="8"/>
        <w:spacing w:after="0" w:line="261" w:lineRule="auto"/>
        <w:tabs>
          <w:tab w:leader="none" w:pos="34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of Purchaser to comply with any covenant or agreement to be complied with by it under this Agreement such that the conditions set forth in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would not be satisfied; or</w:t>
      </w:r>
    </w:p>
    <w:p>
      <w:pPr>
        <w:spacing w:after="0" w:line="168" w:lineRule="exact"/>
        <w:rPr>
          <w:rFonts w:ascii="Times New Roman" w:cs="Times New Roman" w:eastAsia="Times New Roman" w:hAnsi="Times New Roman"/>
          <w:sz w:val="22"/>
          <w:szCs w:val="22"/>
          <w:color w:val="auto"/>
        </w:rPr>
      </w:pPr>
    </w:p>
    <w:p>
      <w:pPr>
        <w:ind w:right="20" w:firstLine="2600"/>
        <w:spacing w:after="0" w:line="271" w:lineRule="auto"/>
        <w:tabs>
          <w:tab w:leader="none" w:pos="3078"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becomes aware of the occurrence or existence of any event, development or change that has had, or would have, a Purchaser Material Adverse Effect.</w:t>
      </w:r>
    </w:p>
    <w:p>
      <w:pPr>
        <w:spacing w:after="0" w:line="158"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220" w:lineRule="exact"/>
        <w:rPr>
          <w:sz w:val="20"/>
          <w:szCs w:val="20"/>
          <w:color w:val="auto"/>
        </w:rPr>
      </w:pPr>
    </w:p>
    <w:p>
      <w:pPr>
        <w:jc w:val="both"/>
        <w:ind w:firstLine="1952"/>
        <w:spacing w:after="0" w:line="261" w:lineRule="auto"/>
        <w:tabs>
          <w:tab w:leader="none" w:pos="246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Taxes of the Company relating to any Taxable period beginning on or before, and ending after the Closing Date (a “</w:t>
      </w: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shall, for purposes of this Agreement, be allocated to the portion of any Tax that is allocable to the Taxable period that is deemed to end on the Closing Date as follows: (i) in the case of property Taxes and other Taxes similarly imposed on a periodic basis, deemed to be the amount of such Taxes for the entire Straddle Period multiplied by a fraction, the numerator of which is the number of calendar days of such Straddle Period up to and including the Closing Date and the denominator of which is the number of calendar days in the entire Straddle Period, and (ii) in the case of all other Taxes (including income and similar Taxes), determined as though the Taxable year of the Company terminated on (and included) the Closing Date; provided that (A) any Taxes that are the result of or that are attributable to any transactions or actions that occur on the Closing Date but falls outside the ordinary course of business after the Closing shall not be allocated to the Taxable period that is deemed to end on the Closing Date; (B) exemptions, allowances or deductions generated by Transaction Expenses shall be treated as allocable to a Taxable period (or portion thereof) ending on or before the Closing Date.</w:t>
      </w:r>
    </w:p>
    <w:p>
      <w:pPr>
        <w:spacing w:after="0" w:line="175" w:lineRule="exact"/>
        <w:rPr>
          <w:rFonts w:ascii="Times New Roman" w:cs="Times New Roman" w:eastAsia="Times New Roman" w:hAnsi="Times New Roman"/>
          <w:sz w:val="21"/>
          <w:szCs w:val="21"/>
          <w:color w:val="auto"/>
        </w:rPr>
      </w:pPr>
    </w:p>
    <w:p>
      <w:pPr>
        <w:jc w:val="both"/>
        <w:ind w:firstLine="1952"/>
        <w:spacing w:after="0" w:line="250" w:lineRule="auto"/>
        <w:tabs>
          <w:tab w:leader="none" w:pos="241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Cooperation</w:t>
      </w:r>
      <w:r>
        <w:rPr>
          <w:rFonts w:ascii="Times New Roman" w:cs="Times New Roman" w:eastAsia="Times New Roman" w:hAnsi="Times New Roman"/>
          <w:sz w:val="22"/>
          <w:szCs w:val="22"/>
          <w:color w:val="auto"/>
        </w:rPr>
        <w:t>. Purchaser and Seller shall cooperate fully, as and to the extent reasonably requested by the other Party, in connection with the filing of Tax Returns and any audit, examination, litigation or other proceeding with respect to Taxes. Each of Purchaser and Seller agrees to furnish or cause to be furnished to Purchaser or Seller, as applicable, upon request, as promptly as practicable, such information and assistance relating to the Company as is reasonably necessary for the filing of any Tax Return (including the furnishing or making available during normal business hours of records, personnel (as reasonably required), books of account, powers of attorney and other materials reasonably necessary or helpful for the preparation of such Tax Returns), for the preparation for any audit, and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7" w:lineRule="auto"/>
        <w:rPr>
          <w:sz w:val="20"/>
          <w:szCs w:val="20"/>
          <w:color w:val="auto"/>
        </w:rPr>
      </w:pPr>
      <w:r>
        <w:rPr>
          <w:rFonts w:ascii="Times New Roman" w:cs="Times New Roman" w:eastAsia="Times New Roman" w:hAnsi="Times New Roman"/>
          <w:sz w:val="22"/>
          <w:szCs w:val="22"/>
          <w:color w:val="auto"/>
        </w:rPr>
        <w:t>prosecution or defense of any Tax Claim relating to any proposed adjustment. Each of Purchaser, Seller and the Company shall retain all books and records with respect to Taxes of the Company for a period of at least seven (7) years following the Closing Date.</w:t>
      </w:r>
    </w:p>
    <w:p>
      <w:pPr>
        <w:spacing w:after="0" w:line="186" w:lineRule="exact"/>
        <w:rPr>
          <w:sz w:val="20"/>
          <w:szCs w:val="20"/>
          <w:color w:val="auto"/>
        </w:rPr>
      </w:pPr>
    </w:p>
    <w:p>
      <w:pPr>
        <w:jc w:val="both"/>
        <w:ind w:firstLine="1952"/>
        <w:spacing w:after="0" w:line="247" w:lineRule="auto"/>
        <w:tabs>
          <w:tab w:leader="none" w:pos="24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The Company shall, and the Parties shall procure the Company to, prepare or cause to be prepared and file or cause to be filed all Tax Returns for the Company for any taxable year or period that begins on or before the Closing Date that are due (including extensions) after the Closing Date. The Company shall, and the Parties shall procure the Company to, (A) submit such Tax Returns to Seller for review and comment at least thirty (30) days prior to their filing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such Tax Return is due less than sixty (60) days following the end of the taxable period to which such Tax Return relates, such Tax Return shall be submitted to Seller for its review and comment as many days prior to their due date as is reasonably practicable) and (B) make any timely comments reasonably requested by Seller. All Transaction Deductions shall be reported in a Pre-Closing Tax Period to the maximum extent permitted by applicable Law. Without the prior written consent of Seller (which shall not be unreasonably delayed or withheld), the Company shall not amend any Tax Return relating to a Pre-Closing Tax Period, unless so required by the Taxing Authority in connection with a Tax Claim that is conducted in accordance with the terms of this Agreement.</w:t>
      </w:r>
    </w:p>
    <w:p>
      <w:pPr>
        <w:spacing w:after="0" w:line="200"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Proceedings</w:t>
      </w:r>
      <w:r>
        <w:rPr>
          <w:rFonts w:ascii="Times New Roman" w:cs="Times New Roman" w:eastAsia="Times New Roman" w:hAnsi="Times New Roman"/>
          <w:sz w:val="22"/>
          <w:szCs w:val="22"/>
          <w:color w:val="auto"/>
        </w:rPr>
        <w:t>. After the Closing Date, Purchaser shall notify Seller within ten (10) days of the commencement of any notice of Tax deficiency, proposed Tax adjustment, Tax assessment, Tax audit, Tax examination or other administrative or court proceeding, suit, dispute or other claim with respect to Taxes of the Company for a Pre-Closing Tax Period (a “</w:t>
      </w:r>
      <w:r>
        <w:rPr>
          <w:rFonts w:ascii="Times New Roman" w:cs="Times New Roman" w:eastAsia="Times New Roman" w:hAnsi="Times New Roman"/>
          <w:sz w:val="22"/>
          <w:szCs w:val="22"/>
          <w:u w:val="single" w:color="auto"/>
          <w:color w:val="auto"/>
        </w:rPr>
        <w:t>Tax Claim</w:t>
      </w:r>
      <w:r>
        <w:rPr>
          <w:rFonts w:ascii="Times New Roman" w:cs="Times New Roman" w:eastAsia="Times New Roman" w:hAnsi="Times New Roman"/>
          <w:sz w:val="22"/>
          <w:szCs w:val="22"/>
          <w:color w:val="auto"/>
        </w:rPr>
        <w:t>”). Thereafter, Purchaser shall deliver to Seller, as promptly as possible but in no event later than ten (10) days after receipt thereof, copies of all relevant notices and documents (including court papers) received by Purchaser or any of its Affiliates (including the Company). In the case of any Tax Claim relating to any Tax period ending on or before the Closing Date that, if determined adversely to the Company would be grounds for a claim for indemnity pursuant to this Agreement, Seller shall have the right to control the conduct of such Tax Claim and shall have the right to settle such Tax Claim after consultation with Purchaser.</w:t>
      </w:r>
    </w:p>
    <w:p>
      <w:pPr>
        <w:spacing w:after="0" w:line="185"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Refunds</w:t>
      </w:r>
      <w:r>
        <w:rPr>
          <w:rFonts w:ascii="Times New Roman" w:cs="Times New Roman" w:eastAsia="Times New Roman" w:hAnsi="Times New Roman"/>
          <w:sz w:val="22"/>
          <w:szCs w:val="22"/>
          <w:color w:val="auto"/>
        </w:rPr>
        <w:t xml:space="preserve">. Purchaser shall pay, or cause its Affiliates (including, after the Closing, the Company) to pay, to Seller, as additional consideration for the Purchased Interest, all Tax refunds that are received by or with respect to the Company after the Closing that are attributable to a Pre-Closing Tax Period within five (5) Business Days of the receipt of such Tax refund other than to the extent such Tax refund was taken into account in the calculation of the Actual Working Capital Amount. Purchaser shall, and shall cause its Affiliates to, take all actions to receive refunds to which Seller is entitled pursuant to this </w:t>
      </w:r>
      <w:r>
        <w:rPr>
          <w:rFonts w:ascii="Times New Roman" w:cs="Times New Roman" w:eastAsia="Times New Roman" w:hAnsi="Times New Roman"/>
          <w:sz w:val="22"/>
          <w:szCs w:val="22"/>
          <w:u w:val="single" w:color="auto"/>
          <w:color w:val="auto"/>
        </w:rPr>
        <w:t>Section 5.10(e)</w:t>
      </w:r>
      <w:r>
        <w:rPr>
          <w:rFonts w:ascii="Times New Roman" w:cs="Times New Roman" w:eastAsia="Times New Roman" w:hAnsi="Times New Roman"/>
          <w:sz w:val="22"/>
          <w:szCs w:val="22"/>
          <w:color w:val="auto"/>
        </w:rPr>
        <w:t>, including actions (such as preparing and filing, or causing to be prepared and filed, Tax Returns) reasonably requested by Seller to obtain such refunds. Seller shall control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any preparation of, and any proceeding with respect to, any Tax Return or claim for refund pursuant to this Section 5.10(e).</w:t>
      </w:r>
    </w:p>
    <w:p>
      <w:pPr>
        <w:spacing w:after="0" w:line="220" w:lineRule="exact"/>
        <w:rPr>
          <w:sz w:val="20"/>
          <w:szCs w:val="20"/>
          <w:color w:val="auto"/>
        </w:rPr>
      </w:pPr>
    </w:p>
    <w:p>
      <w:pPr>
        <w:ind w:left="2380" w:hanging="428"/>
        <w:spacing w:after="0"/>
        <w:tabs>
          <w:tab w:leader="none" w:pos="23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PRC Withholding Tax</w:t>
      </w:r>
    </w:p>
    <w:p>
      <w:pPr>
        <w:spacing w:after="0" w:line="219" w:lineRule="exact"/>
        <w:rPr>
          <w:rFonts w:ascii="Times New Roman" w:cs="Times New Roman" w:eastAsia="Times New Roman" w:hAnsi="Times New Roman"/>
          <w:sz w:val="22"/>
          <w:szCs w:val="22"/>
          <w:color w:val="auto"/>
        </w:rPr>
      </w:pPr>
    </w:p>
    <w:p>
      <w:pPr>
        <w:jc w:val="both"/>
        <w:ind w:firstLine="2600"/>
        <w:spacing w:after="0" w:line="252" w:lineRule="auto"/>
        <w:tabs>
          <w:tab w:leader="none" w:pos="302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be entitled to deduct and withhold, or cause to be deducted and withheld, from the amount of such part of the Purchase Price as is payable by Purchaser to Seller at any given time pursuant to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of this Agreement, such amounts as it is required to deduct and withhold, or cause to be deducted and withheld with respect to the amount of such payment, by any competent PRC Taxing Authority, and pay such Tax to such competent Taxing Authority on behalf of Seller, subject to compliance with the following </w:t>
      </w:r>
      <w:r>
        <w:rPr>
          <w:rFonts w:ascii="Times New Roman" w:cs="Times New Roman" w:eastAsia="Times New Roman" w:hAnsi="Times New Roman"/>
          <w:sz w:val="22"/>
          <w:szCs w:val="22"/>
          <w:u w:val="single" w:color="auto"/>
          <w:color w:val="auto"/>
        </w:rPr>
        <w:t>Section 5.10(f)(ii)</w:t>
      </w:r>
      <w:r>
        <w:rPr>
          <w:rFonts w:ascii="Times New Roman" w:cs="Times New Roman" w:eastAsia="Times New Roman" w:hAnsi="Times New Roman"/>
          <w:sz w:val="22"/>
          <w:szCs w:val="22"/>
          <w:color w:val="auto"/>
        </w:rPr>
        <w:t>. For avoidance of doubt, Seller shall be solely responsible for making Tax filings/registrations with, and paying Taxes to Taxing Authority outside of China, for any Tax payable by Seller (or its Affiliates) in connection with the transactions contemplated herein.</w:t>
      </w:r>
    </w:p>
    <w:p>
      <w:pPr>
        <w:spacing w:after="0" w:line="179"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5.10,</w:t>
      </w:r>
    </w:p>
    <w:p>
      <w:pPr>
        <w:spacing w:after="0" w:line="219" w:lineRule="exact"/>
        <w:rPr>
          <w:rFonts w:ascii="Times New Roman" w:cs="Times New Roman" w:eastAsia="Times New Roman" w:hAnsi="Times New Roman"/>
          <w:sz w:val="22"/>
          <w:szCs w:val="22"/>
          <w:color w:val="auto"/>
        </w:rPr>
      </w:pPr>
    </w:p>
    <w:p>
      <w:pPr>
        <w:jc w:val="both"/>
        <w:ind w:left="660" w:right="660" w:firstLine="2588"/>
        <w:spacing w:after="0" w:line="251" w:lineRule="auto"/>
        <w:tabs>
          <w:tab w:leader="none" w:pos="3808"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prepare, or cause to be prepared required Tax Returns and related documentation in connection with the PRC Withholding Taxes as promptly as reasonably practicable to ensure timely filing of such Tax Returns. Seller shall provide Purchaser (and its Representatives with a reasonable opportunity (but Purchaser shall not be obliged) to review and comment on the relevant Tax Returns and filings to be submitted to the competent PRC Taxing Authority in connection with the transfer of Purchased Interest and the calculation of the PRC Withholding Taxes thereon;</w:t>
      </w:r>
    </w:p>
    <w:p>
      <w:pPr>
        <w:spacing w:after="0" w:line="181" w:lineRule="exact"/>
        <w:rPr>
          <w:rFonts w:ascii="Times New Roman" w:cs="Times New Roman" w:eastAsia="Times New Roman" w:hAnsi="Times New Roman"/>
          <w:sz w:val="22"/>
          <w:szCs w:val="22"/>
          <w:color w:val="auto"/>
        </w:rPr>
      </w:pPr>
    </w:p>
    <w:p>
      <w:pPr>
        <w:jc w:val="both"/>
        <w:ind w:left="660" w:right="660" w:firstLine="2588"/>
        <w:spacing w:after="0" w:line="272" w:lineRule="auto"/>
        <w:tabs>
          <w:tab w:leader="none" w:pos="3874" w:val="left"/>
        </w:tabs>
        <w:numPr>
          <w:ilvl w:val="2"/>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legally permissible, each Party shall notify the other Party as promptly as possible (but no later than four (4) Business Days) after receiving any communication or inquiry from any Taxing Authority relating to the assessment of the PRC Withholding Taxes and not respond to such inquiry unless with prior written consent of the other Party not to be unreasonably withheld, conditioned or delayed;</w:t>
      </w:r>
    </w:p>
    <w:p>
      <w:pPr>
        <w:spacing w:after="0" w:line="160" w:lineRule="exact"/>
        <w:rPr>
          <w:rFonts w:ascii="Times New Roman" w:cs="Times New Roman" w:eastAsia="Times New Roman" w:hAnsi="Times New Roman"/>
          <w:sz w:val="21"/>
          <w:szCs w:val="21"/>
          <w:color w:val="auto"/>
        </w:rPr>
      </w:pPr>
    </w:p>
    <w:p>
      <w:pPr>
        <w:jc w:val="both"/>
        <w:ind w:left="660" w:right="660" w:firstLine="2588"/>
        <w:spacing w:after="0" w:line="253" w:lineRule="auto"/>
        <w:tabs>
          <w:tab w:leader="none" w:pos="3995"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practicable, each Party (and its Representatives) shall be permitted to attend any substantive meetings with or other appearances before any Tax officials of the PRC Taxing Authority; provided, that should any Party (or its Representatives) fail to attend such meetings or appearances as duly notified hereunder, the other Party may elect to attend such meetings or appearances without the other Party (or its Representatives) to the extent permissible under applicable Law; and</w:t>
      </w:r>
    </w:p>
    <w:p>
      <w:pPr>
        <w:spacing w:after="0" w:line="178" w:lineRule="exact"/>
        <w:rPr>
          <w:rFonts w:ascii="Times New Roman" w:cs="Times New Roman" w:eastAsia="Times New Roman" w:hAnsi="Times New Roman"/>
          <w:sz w:val="22"/>
          <w:szCs w:val="22"/>
          <w:color w:val="auto"/>
        </w:rPr>
      </w:pPr>
    </w:p>
    <w:p>
      <w:pPr>
        <w:jc w:val="both"/>
        <w:ind w:left="660" w:right="660" w:firstLine="2588"/>
        <w:spacing w:after="0" w:line="252" w:lineRule="auto"/>
        <w:tabs>
          <w:tab w:leader="none" w:pos="3906"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as promptly as practicable, but in no event later than the relevant timeline required by the competent PRC Taxing Authority, pay to the competent PRC Taxing Authority the PRC Withholding Tax as determined pursuant to this </w:t>
      </w:r>
      <w:r>
        <w:rPr>
          <w:rFonts w:ascii="Times New Roman" w:cs="Times New Roman" w:eastAsia="Times New Roman" w:hAnsi="Times New Roman"/>
          <w:sz w:val="22"/>
          <w:szCs w:val="22"/>
          <w:u w:val="single" w:color="auto"/>
          <w:color w:val="auto"/>
        </w:rPr>
        <w:t>Section 5.10(f)(ii)</w:t>
      </w:r>
      <w:r>
        <w:rPr>
          <w:rFonts w:ascii="Times New Roman" w:cs="Times New Roman" w:eastAsia="Times New Roman" w:hAnsi="Times New Roman"/>
          <w:sz w:val="22"/>
          <w:szCs w:val="22"/>
          <w:color w:val="auto"/>
        </w:rPr>
        <w:t xml:space="preserve"> in respect of the transfer of the Purchased Interest to Purchaser, and Purchaser shall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1" w:right="339" w:bottom="1440" w:gutter="0" w:footer="0" w:header="0"/>
        </w:sectPr>
      </w:pPr>
    </w:p>
    <w:bookmarkStart w:id="141" w:name="page142"/>
    <w:bookmarkEnd w:id="141"/>
    <w:p>
      <w:pPr>
        <w:ind w:left="660" w:right="660"/>
        <w:spacing w:after="0" w:line="271" w:lineRule="auto"/>
        <w:rPr>
          <w:sz w:val="20"/>
          <w:szCs w:val="20"/>
          <w:color w:val="auto"/>
        </w:rPr>
      </w:pPr>
      <w:r>
        <w:rPr>
          <w:rFonts w:ascii="Times New Roman" w:cs="Times New Roman" w:eastAsia="Times New Roman" w:hAnsi="Times New Roman"/>
          <w:sz w:val="22"/>
          <w:szCs w:val="22"/>
          <w:color w:val="auto"/>
        </w:rPr>
        <w:t>Seller evidence of such payments, including the Tax payment certificate(s) within five (5) Business Days following the payment of the PRC Withholding Tax to the competent PRC Taxing Authority.</w:t>
      </w:r>
    </w:p>
    <w:p>
      <w:pPr>
        <w:spacing w:after="0" w:line="158" w:lineRule="exact"/>
        <w:rPr>
          <w:sz w:val="20"/>
          <w:szCs w:val="20"/>
          <w:color w:val="auto"/>
        </w:rPr>
      </w:pPr>
    </w:p>
    <w:p>
      <w:pPr>
        <w:jc w:val="both"/>
        <w:ind w:left="660" w:right="660" w:firstLine="2588"/>
        <w:spacing w:after="0" w:line="268" w:lineRule="auto"/>
        <w:tabs>
          <w:tab w:leader="none" w:pos="381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Seller shall submit the Tax Returns and filings in connection with the PRC Withholding Taxes to the PRC Taxing Authority as soon as practical, but in no event later than the relevant timeline required by applicable Law. Seller shall provide Purchaser with a copy of all Tax Returns and other Tax filing documents submitted to the PRC Taxing Authority, and Seller shall provide Purchaser with a copy of such Tax Returns and Tax Payment Notice, affixed with the chop of the competent PRC Taxing Authority, as soon as practicable and in any event within three (3) Business Days after the relevant submission has been made.</w:t>
      </w:r>
    </w:p>
    <w:p>
      <w:pPr>
        <w:spacing w:after="0" w:line="164" w:lineRule="exact"/>
        <w:rPr>
          <w:rFonts w:ascii="Times New Roman" w:cs="Times New Roman" w:eastAsia="Times New Roman" w:hAnsi="Times New Roman"/>
          <w:sz w:val="19"/>
          <w:szCs w:val="19"/>
          <w:color w:val="auto"/>
        </w:rPr>
      </w:pPr>
    </w:p>
    <w:p>
      <w:pPr>
        <w:jc w:val="both"/>
        <w:ind w:firstLine="1952"/>
        <w:spacing w:after="0" w:line="253" w:lineRule="auto"/>
        <w:tabs>
          <w:tab w:leader="none" w:pos="243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Stamp Duty</w:t>
      </w:r>
      <w:r>
        <w:rPr>
          <w:rFonts w:ascii="Times New Roman" w:cs="Times New Roman" w:eastAsia="Times New Roman" w:hAnsi="Times New Roman"/>
          <w:sz w:val="22"/>
          <w:szCs w:val="22"/>
          <w:color w:val="auto"/>
        </w:rPr>
        <w:t>. Unless otherwise required by applicable Law or the competent Taxing Authority in the PRC, each of Purchaser and Seller shall: (i) submit on its own behalf to the applicable PRC Taxing Authority the stamp duty attributable to it; and (ii) pay the amount of stamp duty attributable to such Party, in each of clause (i) and (ii), as promptly as practicable (and no later than the prescribed deadline set forth by the competent PRC Taxing Authority) following the Closing as required by the applicable Taxing Authority.</w:t>
      </w:r>
    </w:p>
    <w:p>
      <w:pPr>
        <w:spacing w:after="0" w:line="178" w:lineRule="exact"/>
        <w:rPr>
          <w:rFonts w:ascii="Times New Roman" w:cs="Times New Roman" w:eastAsia="Times New Roman" w:hAnsi="Times New Roman"/>
          <w:sz w:val="22"/>
          <w:szCs w:val="22"/>
          <w:color w:val="auto"/>
        </w:rPr>
      </w:pPr>
    </w:p>
    <w:p>
      <w:pPr>
        <w:jc w:val="both"/>
        <w:ind w:firstLine="1952"/>
        <w:spacing w:after="0" w:line="268" w:lineRule="auto"/>
        <w:tabs>
          <w:tab w:leader="none" w:pos="242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Transfer Taxes</w:t>
      </w:r>
      <w:r>
        <w:rPr>
          <w:rFonts w:ascii="Times New Roman" w:cs="Times New Roman" w:eastAsia="Times New Roman" w:hAnsi="Times New Roman"/>
          <w:sz w:val="21"/>
          <w:szCs w:val="21"/>
          <w:color w:val="auto"/>
        </w:rPr>
        <w:t xml:space="preserve">. All transfer, documentary, excise, consumption, sales, use, value added, stamp, conveyance, registration, filing, recordation and other similar Taxes and fees (including any penalties and interest) incurred in connection with this Agreement or the transactions contemplated by this Agreement (other than stamp duty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5.10(g)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shall be borne and paid by the Parties in accordance with the Law. The Parties shall file, or cause to be filed, all necessary Tax Returns and other documentation with respect to all such Transfer Taxes, if required by applicable Law.</w:t>
      </w:r>
    </w:p>
    <w:p>
      <w:pPr>
        <w:spacing w:after="0" w:line="163"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2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Actions</w:t>
      </w:r>
      <w:r>
        <w:rPr>
          <w:rFonts w:ascii="Times New Roman" w:cs="Times New Roman" w:eastAsia="Times New Roman" w:hAnsi="Times New Roman"/>
          <w:sz w:val="22"/>
          <w:szCs w:val="22"/>
          <w:color w:val="auto"/>
        </w:rPr>
        <w:t>. Purchaser, the Company and each of their Affiliates shall not (i) initiate discussions or examinations with a Taxing Authority or make any voluntary disclosures with respect to Taxes of the Company with respect to a Pre-Closing Tax Period, (ii) extend any statute of limitations with respect to the Company for a Pre-Closing Tax Period, (iii) file any Tax Return with respect to a Pre-Closing Tax Period in any jurisdiction where the Company did not previously file such Tax Return, (iv) make any election with respect to the Company that has any retroactive effect to any Pre-Closing Tax Period, or (v) enter into any closing agreement with a Taxing Authority with respect to the Company for any Pre-Closing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Tax Period, unless any of the above actions is mandatorily required by Law or ordered by the Taxing Authority.</w:t>
      </w:r>
    </w:p>
    <w:p>
      <w:pPr>
        <w:spacing w:after="0" w:line="220" w:lineRule="exact"/>
        <w:rPr>
          <w:sz w:val="20"/>
          <w:szCs w:val="20"/>
          <w:color w:val="auto"/>
        </w:rPr>
      </w:pPr>
    </w:p>
    <w:p>
      <w:pPr>
        <w:jc w:val="both"/>
        <w:ind w:firstLine="1952"/>
        <w:spacing w:after="0" w:line="263" w:lineRule="auto"/>
        <w:tabs>
          <w:tab w:leader="none" w:pos="240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Overlap</w:t>
      </w:r>
      <w:r>
        <w:rPr>
          <w:rFonts w:ascii="Times New Roman" w:cs="Times New Roman" w:eastAsia="Times New Roman" w:hAnsi="Times New Roman"/>
          <w:sz w:val="22"/>
          <w:szCs w:val="22"/>
          <w:color w:val="auto"/>
        </w:rPr>
        <w:t xml:space="preserve">. To the extent that an obligation or responsibility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may conflict with an obligation or responsibility pursuant to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shall govern such obligation or responsibility.</w:t>
      </w:r>
    </w:p>
    <w:p>
      <w:pPr>
        <w:spacing w:after="0" w:line="167"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No-Shop</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During the Interim Period, Seller shall not, and shall not permit the Company or any of the respective Representatives of the Seller or the Company to, directly or indirectly:</w:t>
      </w:r>
    </w:p>
    <w:p>
      <w:pPr>
        <w:spacing w:after="0" w:line="158" w:lineRule="exact"/>
        <w:rPr>
          <w:sz w:val="20"/>
          <w:szCs w:val="20"/>
          <w:color w:val="auto"/>
        </w:rPr>
      </w:pPr>
    </w:p>
    <w:p>
      <w:pPr>
        <w:ind w:right="20" w:firstLine="1952"/>
        <w:spacing w:after="0" w:line="284" w:lineRule="auto"/>
        <w:tabs>
          <w:tab w:leader="none" w:pos="253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initiate, encourage, or facilitate the making, submission or announcement of any inquiry, expression of interest, proposal or offer that constitutes, or would reasonably be expected to lead to, an Acquisition Proposal;</w:t>
      </w:r>
    </w:p>
    <w:p>
      <w:pPr>
        <w:spacing w:after="0" w:line="14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4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participate in, maintain or continue any communications (except solely to provide written notice as to the existence of these provisions) or negotiations regarding, or deliver or make available to any Person any non-public information with respect to, or take any other direct action regarding, any inquiry, expression of interest, proposal or offer that constitutes, or would reasonably be expected to lead to, an Acquisition Proposal;</w:t>
      </w:r>
    </w:p>
    <w:p>
      <w:pPr>
        <w:spacing w:after="0" w:line="179" w:lineRule="exact"/>
        <w:rPr>
          <w:rFonts w:ascii="Times New Roman" w:cs="Times New Roman" w:eastAsia="Times New Roman" w:hAnsi="Times New Roman"/>
          <w:sz w:val="22"/>
          <w:szCs w:val="22"/>
          <w:color w:val="auto"/>
        </w:rPr>
      </w:pPr>
    </w:p>
    <w:p>
      <w:pPr>
        <w:ind w:firstLine="1952"/>
        <w:spacing w:after="0" w:line="284" w:lineRule="auto"/>
        <w:tabs>
          <w:tab w:leader="none" w:pos="245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to, accept, approve, endorse or recommend (or publicly propose or announce any intention to agree to, accept, approve, endorse or recommend) any Acquisition Proposal; or</w:t>
      </w:r>
    </w:p>
    <w:p>
      <w:pPr>
        <w:spacing w:after="0" w:line="143"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letter of intent or any other Contract contemplating or otherwise relating to any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Proposal.</w:t>
      </w:r>
    </w:p>
    <w:p>
      <w:pPr>
        <w:spacing w:after="0" w:line="196"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Non-Compete; Non-Solicitation</w:t>
      </w:r>
    </w:p>
    <w:p>
      <w:pPr>
        <w:spacing w:after="0" w:line="220" w:lineRule="exact"/>
        <w:rPr>
          <w:sz w:val="20"/>
          <w:szCs w:val="20"/>
          <w:color w:val="auto"/>
        </w:rPr>
      </w:pPr>
    </w:p>
    <w:p>
      <w:pPr>
        <w:jc w:val="both"/>
        <w:ind w:firstLine="1952"/>
        <w:spacing w:after="0" w:line="250" w:lineRule="auto"/>
        <w:tabs>
          <w:tab w:leader="none" w:pos="255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five (5) years commencing from the Closing Date, unless otherwise agreed by Purchaser in writing, Seller will not, and shall procure that none of its Affiliates will, establish or invest in any business operations located in the PRC (whether in the form of buying equity in such company, entering into a joint venture, or other similar transaction) for the purpose of engaging in flash assembly and testing in the PRC of any product identical with or substantially similar to the products being assembled or tested at the Company as of the Closing. Nothing in the foregoing restriction shall limit Seller’s or any of its Affiliates’ ability to engage with third party suppliers or contract manufacturers to provide flash assembly and test business to support Seller’s or any of its Affiliates’ business requirements, nor shall it restrict Seller’s or any of its Affiliates’ ability to acquire, merge with, invest in, form a joint venture with, or otherwise consummate a business combination with, any non-PRC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1" w:right="339" w:bottom="1440" w:gutter="0" w:footer="0" w:header="0"/>
        </w:sectPr>
      </w:pPr>
    </w:p>
    <w:bookmarkStart w:id="143" w:name="page144"/>
    <w:bookmarkEnd w:id="143"/>
    <w:p>
      <w:pPr>
        <w:spacing w:after="0" w:line="271" w:lineRule="auto"/>
        <w:rPr>
          <w:sz w:val="20"/>
          <w:szCs w:val="20"/>
          <w:color w:val="auto"/>
        </w:rPr>
      </w:pPr>
      <w:r>
        <w:rPr>
          <w:rFonts w:ascii="Times New Roman" w:cs="Times New Roman" w:eastAsia="Times New Roman" w:hAnsi="Times New Roman"/>
          <w:sz w:val="22"/>
          <w:szCs w:val="22"/>
          <w:color w:val="auto"/>
        </w:rPr>
        <w:t>where a majority business of such non-PRC company and/or its subsidiaries does not consist of flash testing and assembly in the PRC.</w:t>
      </w:r>
    </w:p>
    <w:p>
      <w:pPr>
        <w:spacing w:after="0" w:line="158" w:lineRule="exact"/>
        <w:rPr>
          <w:sz w:val="20"/>
          <w:szCs w:val="20"/>
          <w:color w:val="auto"/>
        </w:rPr>
      </w:pPr>
    </w:p>
    <w:p>
      <w:pPr>
        <w:ind w:left="2460" w:hanging="508"/>
        <w:spacing w:after="0"/>
        <w:tabs>
          <w:tab w:leader="none" w:pos="246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the Excluded Employees and such other Company Employees as agreed by the Parties in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writing,</w:t>
      </w:r>
    </w:p>
    <w:p>
      <w:pPr>
        <w:spacing w:after="0" w:line="207" w:lineRule="exact"/>
        <w:rPr>
          <w:sz w:val="20"/>
          <w:szCs w:val="20"/>
          <w:color w:val="auto"/>
        </w:rPr>
      </w:pPr>
    </w:p>
    <w:p>
      <w:pPr>
        <w:jc w:val="both"/>
        <w:ind w:firstLine="2600"/>
        <w:spacing w:after="0" w:line="249" w:lineRule="auto"/>
        <w:tabs>
          <w:tab w:leader="none" w:pos="302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not, and shall procure that its Affiliates will not, (x) within three (3) years after the Closing Date, offer employment to any employee of the Company, or attempt to induce any employee to leave the employment of the Company, except pursuant to a general advertisement or public solicitation which is not directed specifically to any such employee, (y) offer employment to or hire any employee of the Company, within one (1) year after his/her voluntary resignation as an employee of the Company, unless otherwise agreed by the Parties in writing, or (z) solicit any customer, any supplier or any third party having cooperative relationship with the Company to do business with any entity directly competing with the Company. Nothing in the foregoing restriction shall prevent Seller or any of its Affiliates from hiring any employee whose employment has been terminated by the Company for any reason.</w:t>
      </w:r>
    </w:p>
    <w:p>
      <w:pPr>
        <w:spacing w:after="0" w:line="181"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6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procure that the Company and its Subsidiaries (if any) will not, (x) within three (3) years after the Closing Date, offer employment to any employee of Seller or any Affiliate thereof, or attempt to induce any employee to leave the employment of Seller or such Affiliate, except pursuant to a general advertisement or public solicitation which is not directed specifically to any such employee, or (y) offer employment to or hire any employee of the Seller or such Affiliate, within one (1) year after his/her voluntary resignation as an employee of Seller or such Affiliate, unless otherwise agreed by the Parties in writing. Nothing in the foregoing restriction shall prevent the Company and its Subsidiaries (if any) from hiring any employee whose employment has been terminated by Seller and its Affiliates for any reason.</w:t>
      </w:r>
    </w:p>
    <w:p>
      <w:pPr>
        <w:spacing w:after="0" w:line="194"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5.13</w:t>
      </w:r>
      <w:r>
        <w:rPr>
          <w:sz w:val="20"/>
          <w:szCs w:val="20"/>
          <w:color w:val="auto"/>
        </w:rPr>
        <w:tab/>
      </w:r>
      <w:r>
        <w:rPr>
          <w:rFonts w:ascii="Times New Roman" w:cs="Times New Roman" w:eastAsia="Times New Roman" w:hAnsi="Times New Roman"/>
          <w:sz w:val="21"/>
          <w:szCs w:val="21"/>
          <w:u w:val="single" w:color="auto"/>
          <w:color w:val="auto"/>
        </w:rPr>
        <w:t>Working Capital Support</w:t>
      </w:r>
    </w:p>
    <w:p>
      <w:pPr>
        <w:spacing w:after="0" w:line="220" w:lineRule="exact"/>
        <w:rPr>
          <w:sz w:val="20"/>
          <w:szCs w:val="20"/>
          <w:color w:val="auto"/>
        </w:rPr>
      </w:pPr>
    </w:p>
    <w:p>
      <w:pPr>
        <w:jc w:val="both"/>
        <w:ind w:firstLine="1952"/>
        <w:spacing w:after="0" w:line="252" w:lineRule="auto"/>
        <w:tabs>
          <w:tab w:leader="none" w:pos="251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practical following the execution of this Agreement, the Parties shall use commercially reasonable efforts to procure each Controller Supplier (as defined below) to enter into supply agreements directly with the Company (the “</w:t>
      </w:r>
      <w:r>
        <w:rPr>
          <w:rFonts w:ascii="Times New Roman" w:cs="Times New Roman" w:eastAsia="Times New Roman" w:hAnsi="Times New Roman"/>
          <w:sz w:val="22"/>
          <w:szCs w:val="22"/>
          <w:u w:val="single" w:color="auto"/>
          <w:color w:val="auto"/>
        </w:rPr>
        <w:t>Transition of Controller Suppliers</w:t>
      </w:r>
      <w:r>
        <w:rPr>
          <w:rFonts w:ascii="Times New Roman" w:cs="Times New Roman" w:eastAsia="Times New Roman" w:hAnsi="Times New Roman"/>
          <w:sz w:val="22"/>
          <w:szCs w:val="22"/>
          <w:color w:val="auto"/>
        </w:rPr>
        <w:t>”) by the later of (i) August 31, 2024, and (ii) the Closing Date (the period from the date of this Agreement through such date, the “</w:t>
      </w:r>
      <w:r>
        <w:rPr>
          <w:rFonts w:ascii="Times New Roman" w:cs="Times New Roman" w:eastAsia="Times New Roman" w:hAnsi="Times New Roman"/>
          <w:sz w:val="22"/>
          <w:szCs w:val="22"/>
          <w:u w:val="single" w:color="auto"/>
          <w:color w:val="auto"/>
        </w:rPr>
        <w:t>Controller Transition Period</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firstLine="1952"/>
        <w:spacing w:after="0" w:line="271" w:lineRule="auto"/>
        <w:tabs>
          <w:tab w:leader="none" w:pos="24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commence purchasing controllers directly from the Controller Suppliers starting from September 1, 2024 (or such later date as may be mutually agreed upon in writing between the Parties).</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0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of the Controller Suppliers have entered into supply agreements directly with the Company during the Controller Transition Period (a “</w:t>
      </w:r>
      <w:r>
        <w:rPr>
          <w:rFonts w:ascii="Times New Roman" w:cs="Times New Roman" w:eastAsia="Times New Roman" w:hAnsi="Times New Roman"/>
          <w:sz w:val="22"/>
          <w:szCs w:val="22"/>
          <w:u w:val="single" w:color="auto"/>
          <w:color w:val="auto"/>
        </w:rPr>
        <w:t>Full Transition</w:t>
      </w:r>
      <w:r>
        <w:rPr>
          <w:rFonts w:ascii="Times New Roman" w:cs="Times New Roman" w:eastAsia="Times New Roman" w:hAnsi="Times New Roman"/>
          <w:sz w:val="22"/>
          <w:szCs w:val="22"/>
          <w:color w:val="auto"/>
        </w:rPr>
        <w:t>”), in recognition of the additional working capital required to support the Transition of Controller Suppliers, Purchaser shall be entitled to deduct from the Second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1" w:right="339" w:bottom="1440" w:gutter="0" w:footer="0" w:header="0"/>
        </w:sectPr>
      </w:pPr>
    </w:p>
    <w:bookmarkStart w:id="144" w:name="page145"/>
    <w:bookmarkEnd w:id="144"/>
    <w:p>
      <w:pPr>
        <w:ind w:right="20"/>
        <w:spacing w:after="0" w:line="271" w:lineRule="auto"/>
        <w:rPr>
          <w:sz w:val="20"/>
          <w:szCs w:val="20"/>
          <w:color w:val="auto"/>
        </w:rPr>
      </w:pPr>
      <w:r>
        <w:rPr>
          <w:rFonts w:ascii="Times New Roman" w:cs="Times New Roman" w:eastAsia="Times New Roman" w:hAnsi="Times New Roman"/>
          <w:sz w:val="22"/>
          <w:szCs w:val="22"/>
          <w:color w:val="auto"/>
        </w:rPr>
        <w:t>Payment payable to Seller an amount equal to 80% of $41,815,000 (the “</w:t>
      </w:r>
      <w:r>
        <w:rPr>
          <w:rFonts w:ascii="Times New Roman" w:cs="Times New Roman" w:eastAsia="Times New Roman" w:hAnsi="Times New Roman"/>
          <w:sz w:val="22"/>
          <w:szCs w:val="22"/>
          <w:u w:val="single" w:color="auto"/>
          <w:color w:val="auto"/>
        </w:rPr>
        <w:t>Controller Working Capital Amount</w:t>
      </w:r>
      <w:r>
        <w:rPr>
          <w:rFonts w:ascii="Times New Roman" w:cs="Times New Roman" w:eastAsia="Times New Roman" w:hAnsi="Times New Roman"/>
          <w:sz w:val="22"/>
          <w:szCs w:val="22"/>
          <w:color w:val="auto"/>
        </w:rPr>
        <w:t>”), and the Purchase Price shall be deemed to be reduced accordingly.</w:t>
      </w:r>
    </w:p>
    <w:p>
      <w:pPr>
        <w:spacing w:after="0" w:line="158" w:lineRule="exact"/>
        <w:rPr>
          <w:sz w:val="20"/>
          <w:szCs w:val="20"/>
          <w:color w:val="auto"/>
        </w:rPr>
      </w:pPr>
    </w:p>
    <w:p>
      <w:pPr>
        <w:jc w:val="both"/>
        <w:ind w:firstLine="1952"/>
        <w:spacing w:after="0" w:line="250" w:lineRule="auto"/>
        <w:tabs>
          <w:tab w:leader="none" w:pos="252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of the Controller Suppliers have entered into supply agreements directly with the Company during the Controller Transition Period (a “</w:t>
      </w:r>
      <w:r>
        <w:rPr>
          <w:rFonts w:ascii="Times New Roman" w:cs="Times New Roman" w:eastAsia="Times New Roman" w:hAnsi="Times New Roman"/>
          <w:sz w:val="22"/>
          <w:szCs w:val="22"/>
          <w:u w:val="single" w:color="auto"/>
          <w:color w:val="auto"/>
        </w:rPr>
        <w:t>Partial Transition</w:t>
      </w:r>
      <w:r>
        <w:rPr>
          <w:rFonts w:ascii="Times New Roman" w:cs="Times New Roman" w:eastAsia="Times New Roman" w:hAnsi="Times New Roman"/>
          <w:sz w:val="22"/>
          <w:szCs w:val="22"/>
          <w:color w:val="auto"/>
        </w:rPr>
        <w:t>”), then the Controller Working Capital Amount shall be reduced pro rata (the “</w:t>
      </w:r>
      <w:r>
        <w:rPr>
          <w:rFonts w:ascii="Times New Roman" w:cs="Times New Roman" w:eastAsia="Times New Roman" w:hAnsi="Times New Roman"/>
          <w:sz w:val="22"/>
          <w:szCs w:val="22"/>
          <w:u w:val="single" w:color="auto"/>
          <w:color w:val="auto"/>
        </w:rPr>
        <w:t>Adjusted Controller Working Capital Amount</w:t>
      </w:r>
      <w:r>
        <w:rPr>
          <w:rFonts w:ascii="Times New Roman" w:cs="Times New Roman" w:eastAsia="Times New Roman" w:hAnsi="Times New Roman"/>
          <w:sz w:val="22"/>
          <w:szCs w:val="22"/>
          <w:color w:val="auto"/>
        </w:rPr>
        <w:t>”) based on the (i) value of the controllers supplied by Controller Suppliers who have entered into supply agreements with the Company, as compared to (ii) the value of the controllers supplied by Controller Suppliers who have not entered into supply agreements with the Company (the “</w:t>
      </w:r>
      <w:r>
        <w:rPr>
          <w:rFonts w:ascii="Times New Roman" w:cs="Times New Roman" w:eastAsia="Times New Roman" w:hAnsi="Times New Roman"/>
          <w:sz w:val="22"/>
          <w:szCs w:val="22"/>
          <w:u w:val="single" w:color="auto"/>
          <w:color w:val="auto"/>
        </w:rPr>
        <w:t>Controller Pro Rata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In the event of a Partial Transition, the Parties will negotiate in good faith and agree on the Controller Pro Rata Value prior to the Second Installment Payment), and upon mutual agreement in respect thereof, Purchaser shall be entitled to deduct from the Second Installment Payment payable to Seller 80% of the Adjusted Controller Working Capital Amount, and the Purchase Price shall be deemed to be reduced accordingly.</w:t>
      </w:r>
    </w:p>
    <w:p>
      <w:pPr>
        <w:spacing w:after="0" w:line="179"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2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Starting on September 1, 2024, in the case of a Full Transition, the Company shall purchase all controllers that have been (i) designated for the Company’s use and (ii) comprise Seller’s Affiliate’s controller inventory (including controllers held by Controller Suppliers on behalf of Seller’s Affiliate) (such controllers, the “</w:t>
      </w:r>
      <w:r>
        <w:rPr>
          <w:rFonts w:ascii="Times New Roman" w:cs="Times New Roman" w:eastAsia="Times New Roman" w:hAnsi="Times New Roman"/>
          <w:sz w:val="22"/>
          <w:szCs w:val="22"/>
          <w:u w:val="single" w:color="auto"/>
          <w:color w:val="auto"/>
        </w:rPr>
        <w:t>Seller Controller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In the event of Partial Transition, starting on September 1, 2024, the Company shall be obligated to purchase only the controllers within Seller’s Controller Inventory attributable to the Controller Suppliers who entered into supply agreements with the Company. If the Company has insufficient cash to purchase Seller’s Controller Inventory, the Parties will contribute additional working capital in proportion to their respective equity interest in the Company, as is necessary to purchase Seller’s Controller Inventory (or any remaining portion thereof).</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5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 of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Controller Suppliers</w:t>
      </w:r>
      <w:r>
        <w:rPr>
          <w:rFonts w:ascii="Times New Roman" w:cs="Times New Roman" w:eastAsia="Times New Roman" w:hAnsi="Times New Roman"/>
          <w:sz w:val="22"/>
          <w:szCs w:val="22"/>
          <w:color w:val="auto"/>
        </w:rPr>
        <w:t>” means the existing suppliers of controllers (excluding any of Seller’s Affiliates) who provide controllers to one or more of Sellers’ Affiliates (including SanDisk Storage Malaysia Sdn. Bhd.) for subsequent consignment sale and use by the Company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1"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w:t>
      </w:r>
    </w:p>
    <w:p>
      <w:pPr>
        <w:spacing w:after="0" w:line="196"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Mutual Closing Conditions</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respective obligation of each Party to consummate the transactions contemplated hereby is subject to the satisfaction or waiver, to the extent permitted by applicable Law, on or prior to the Closing Date of the following conditions:</w:t>
      </w:r>
    </w:p>
    <w:p>
      <w:pPr>
        <w:spacing w:after="0" w:line="158" w:lineRule="exact"/>
        <w:rPr>
          <w:sz w:val="20"/>
          <w:szCs w:val="20"/>
          <w:color w:val="auto"/>
        </w:rPr>
      </w:pPr>
    </w:p>
    <w:p>
      <w:pPr>
        <w:ind w:right="20" w:firstLine="1952"/>
        <w:spacing w:after="0" w:line="271" w:lineRule="auto"/>
        <w:tabs>
          <w:tab w:leader="none" w:pos="254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AMR Submission Conditions</w:t>
      </w:r>
      <w:r>
        <w:rPr>
          <w:rFonts w:ascii="Times New Roman" w:cs="Times New Roman" w:eastAsia="Times New Roman" w:hAnsi="Times New Roman"/>
          <w:sz w:val="22"/>
          <w:szCs w:val="22"/>
          <w:color w:val="auto"/>
        </w:rPr>
        <w:t xml:space="preserve">. All of the conditions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below shall remain satisfied as of the Closing Date or shall have been waived by both Parties pursuant to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as the case may be.</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AMR Approval</w:t>
      </w:r>
      <w:r>
        <w:rPr>
          <w:rFonts w:ascii="Times New Roman" w:cs="Times New Roman" w:eastAsia="Times New Roman" w:hAnsi="Times New Roman"/>
          <w:sz w:val="22"/>
          <w:szCs w:val="22"/>
          <w:color w:val="auto"/>
        </w:rPr>
        <w:t>. The Company shall have obtained the AMR Approval.</w:t>
      </w:r>
    </w:p>
    <w:p>
      <w:pPr>
        <w:spacing w:after="0" w:line="233"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Purchaser’s Closing Conditions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obligation of Purchaser to consummate the transactions contemplated hereby is further subject to the satisfaction (or waiver by Purchaser) on or prior to the Closing Date of the following conditions:</w:t>
      </w:r>
    </w:p>
    <w:p>
      <w:pPr>
        <w:spacing w:after="0" w:line="158" w:lineRule="exact"/>
        <w:rPr>
          <w:sz w:val="20"/>
          <w:szCs w:val="20"/>
          <w:color w:val="auto"/>
        </w:rPr>
      </w:pPr>
    </w:p>
    <w:p>
      <w:pPr>
        <w:ind w:right="20" w:firstLine="1952"/>
        <w:spacing w:after="0" w:line="271" w:lineRule="auto"/>
        <w:tabs>
          <w:tab w:leader="none" w:pos="24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Obligations of Seller</w:t>
      </w:r>
      <w:r>
        <w:rPr>
          <w:rFonts w:ascii="Times New Roman" w:cs="Times New Roman" w:eastAsia="Times New Roman" w:hAnsi="Times New Roman"/>
          <w:sz w:val="22"/>
          <w:szCs w:val="22"/>
          <w:color w:val="auto"/>
        </w:rPr>
        <w:t>. Seller shall have performed or complied with in all material respects all obligations and covenants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1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performed or complied with by it pursuant to this Agreement and Ancillary Agreements at or prior to the Closing Date.</w:t>
      </w:r>
    </w:p>
    <w:p>
      <w:pPr>
        <w:spacing w:after="0" w:line="220" w:lineRule="exact"/>
        <w:rPr>
          <w:sz w:val="20"/>
          <w:szCs w:val="20"/>
          <w:color w:val="auto"/>
        </w:rPr>
      </w:pPr>
    </w:p>
    <w:p>
      <w:pPr>
        <w:ind w:firstLine="1952"/>
        <w:spacing w:after="0" w:line="271" w:lineRule="auto"/>
        <w:tabs>
          <w:tab w:leader="none" w:pos="24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Closing Deliverables</w:t>
      </w:r>
      <w:r>
        <w:rPr>
          <w:rFonts w:ascii="Times New Roman" w:cs="Times New Roman" w:eastAsia="Times New Roman" w:hAnsi="Times New Roman"/>
          <w:sz w:val="22"/>
          <w:szCs w:val="22"/>
          <w:color w:val="auto"/>
        </w:rPr>
        <w:t xml:space="preserve">. Seller shall have delivered, or caused to be delivered, to Purchaser each of the deliverables described in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45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Certificates</w:t>
      </w:r>
      <w:r>
        <w:rPr>
          <w:rFonts w:ascii="Times New Roman" w:cs="Times New Roman" w:eastAsia="Times New Roman" w:hAnsi="Times New Roman"/>
          <w:sz w:val="22"/>
          <w:szCs w:val="22"/>
          <w:color w:val="auto"/>
        </w:rPr>
        <w:t xml:space="preserve">. Purchaser shall have received a certificate signed on behalf of Seller by their authorized officers (or functional equivalent) certifying as to the matters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as of the Closing Date.</w:t>
      </w:r>
    </w:p>
    <w:p>
      <w:pPr>
        <w:spacing w:after="0" w:line="158"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Seller’s Closing Conditions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obligation of Seller to consummate the transactions contemplated hereby is further subject to the satisfaction (or waiver by Seller) on or prior to the Closing Date of the following conditions:</w:t>
      </w:r>
    </w:p>
    <w:p>
      <w:pPr>
        <w:spacing w:after="0" w:line="171" w:lineRule="exact"/>
        <w:rPr>
          <w:sz w:val="20"/>
          <w:szCs w:val="20"/>
          <w:color w:val="auto"/>
        </w:rPr>
      </w:pPr>
    </w:p>
    <w:p>
      <w:pPr>
        <w:jc w:val="both"/>
        <w:ind w:firstLine="1952"/>
        <w:spacing w:after="0" w:line="257" w:lineRule="auto"/>
        <w:tabs>
          <w:tab w:leader="none" w:pos="241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Obligations of Purchaser</w:t>
      </w:r>
      <w:r>
        <w:rPr>
          <w:rFonts w:ascii="Times New Roman" w:cs="Times New Roman" w:eastAsia="Times New Roman" w:hAnsi="Times New Roman"/>
          <w:sz w:val="22"/>
          <w:szCs w:val="22"/>
          <w:color w:val="auto"/>
        </w:rPr>
        <w:t>. Purchaser shall have performed or complied with in all material respects all obligations and covenants required to be performed or complied with by it pursuant to this Agreement at or prior to the Closing Date.</w:t>
      </w:r>
    </w:p>
    <w:p>
      <w:pPr>
        <w:spacing w:after="0" w:line="172" w:lineRule="exact"/>
        <w:rPr>
          <w:rFonts w:ascii="Times New Roman" w:cs="Times New Roman" w:eastAsia="Times New Roman" w:hAnsi="Times New Roman"/>
          <w:sz w:val="22"/>
          <w:szCs w:val="22"/>
          <w:color w:val="auto"/>
        </w:rPr>
      </w:pPr>
    </w:p>
    <w:p>
      <w:pPr>
        <w:ind w:right="20" w:firstLine="1952"/>
        <w:spacing w:after="0" w:line="271" w:lineRule="auto"/>
        <w:tabs>
          <w:tab w:leader="none" w:pos="250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Certificates</w:t>
      </w:r>
      <w:r>
        <w:rPr>
          <w:rFonts w:ascii="Times New Roman" w:cs="Times New Roman" w:eastAsia="Times New Roman" w:hAnsi="Times New Roman"/>
          <w:sz w:val="22"/>
          <w:szCs w:val="22"/>
          <w:color w:val="auto"/>
        </w:rPr>
        <w:t xml:space="preserve">. Seller shall have received a certificate signed on behalf of Purchaser by an executive officer of Purchaser certifying as to the matters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xml:space="preserve"> as of the Closing Date.</w:t>
      </w:r>
    </w:p>
    <w:p>
      <w:pPr>
        <w:spacing w:after="0" w:line="158"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Mutual Conditions for AMR Submission</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application for AMR Approval shall not be submitted unless and until all of the following conditions have been satisfied or waived by both Parties as of the AMR Submission Date, to the extent permitted by applicable Law:</w:t>
      </w:r>
    </w:p>
    <w:p>
      <w:pPr>
        <w:spacing w:after="0" w:line="158" w:lineRule="exact"/>
        <w:rPr>
          <w:sz w:val="20"/>
          <w:szCs w:val="20"/>
          <w:color w:val="auto"/>
        </w:rPr>
      </w:pPr>
    </w:p>
    <w:p>
      <w:pPr>
        <w:ind w:firstLine="1952"/>
        <w:spacing w:after="0" w:line="271" w:lineRule="auto"/>
        <w:tabs>
          <w:tab w:leader="none" w:pos="246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Antitrust Approval</w:t>
      </w:r>
      <w:r>
        <w:rPr>
          <w:rFonts w:ascii="Times New Roman" w:cs="Times New Roman" w:eastAsia="Times New Roman" w:hAnsi="Times New Roman"/>
          <w:sz w:val="22"/>
          <w:szCs w:val="22"/>
          <w:color w:val="auto"/>
        </w:rPr>
        <w:t>. The waiting period applicable to, or clearance with respect to, the transactions contemplated by this Agreement under the PRC Anti-Monopoly Law shall have terminated, expired or been obtained.</w:t>
      </w:r>
    </w:p>
    <w:p>
      <w:pPr>
        <w:spacing w:after="0" w:line="157" w:lineRule="exact"/>
        <w:rPr>
          <w:rFonts w:ascii="Times New Roman" w:cs="Times New Roman" w:eastAsia="Times New Roman" w:hAnsi="Times New Roman"/>
          <w:sz w:val="22"/>
          <w:szCs w:val="22"/>
          <w:color w:val="auto"/>
        </w:rPr>
      </w:pPr>
    </w:p>
    <w:p>
      <w:pPr>
        <w:ind w:right="20" w:firstLine="1952"/>
        <w:spacing w:after="0" w:line="284" w:lineRule="auto"/>
        <w:tabs>
          <w:tab w:leader="none" w:pos="242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Injunctions or Restraints</w:t>
      </w:r>
      <w:r>
        <w:rPr>
          <w:rFonts w:ascii="Times New Roman" w:cs="Times New Roman" w:eastAsia="Times New Roman" w:hAnsi="Times New Roman"/>
          <w:sz w:val="22"/>
          <w:szCs w:val="22"/>
          <w:color w:val="auto"/>
        </w:rPr>
        <w:t>. No applicable Order or Law shall be in effect that prohibits or prevents the consummation of the transactions contemplated hereby (collectively, “</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firstLine="1952"/>
        <w:spacing w:after="0" w:line="271" w:lineRule="auto"/>
        <w:tabs>
          <w:tab w:leader="none" w:pos="245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The Ancillary Agreements shall have been duly executed and delivered by the relevant parties, with each Ancillary Agreement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than the Amended and Restated Articles of Association and the Registration ETA) to become effective as of the Closing Date.</w:t>
      </w:r>
    </w:p>
    <w:p>
      <w:pPr>
        <w:spacing w:after="0" w:line="220" w:lineRule="exact"/>
        <w:rPr>
          <w:sz w:val="20"/>
          <w:szCs w:val="20"/>
          <w:color w:val="auto"/>
        </w:rPr>
      </w:pPr>
    </w:p>
    <w:p>
      <w:pPr>
        <w:ind w:left="1960"/>
        <w:spacing w:after="0"/>
        <w:tabs>
          <w:tab w:leader="none" w:pos="25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u w:val="single" w:color="auto"/>
          <w:color w:val="auto"/>
        </w:rPr>
        <w:t>Excluded Employee</w:t>
      </w:r>
      <w:r>
        <w:rPr>
          <w:rFonts w:ascii="Times New Roman" w:cs="Times New Roman" w:eastAsia="Times New Roman" w:hAnsi="Times New Roman"/>
          <w:sz w:val="22"/>
          <w:szCs w:val="22"/>
          <w:color w:val="auto"/>
        </w:rPr>
        <w:t>. The Parties have reached agreement in writing on the list of the Excluded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Employees.</w:t>
      </w:r>
    </w:p>
    <w:p>
      <w:pPr>
        <w:spacing w:after="0" w:line="209" w:lineRule="exact"/>
        <w:rPr>
          <w:sz w:val="20"/>
          <w:szCs w:val="20"/>
          <w:color w:val="auto"/>
        </w:rPr>
      </w:pPr>
    </w:p>
    <w:p>
      <w:pPr>
        <w:jc w:val="both"/>
        <w:ind w:firstLine="1952"/>
        <w:spacing w:after="0" w:line="257" w:lineRule="auto"/>
        <w:tabs>
          <w:tab w:leader="none" w:pos="24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Bonus Plan</w:t>
      </w:r>
      <w:r>
        <w:rPr>
          <w:rFonts w:ascii="Times New Roman" w:cs="Times New Roman" w:eastAsia="Times New Roman" w:hAnsi="Times New Roman"/>
          <w:sz w:val="22"/>
          <w:szCs w:val="22"/>
          <w:color w:val="auto"/>
        </w:rPr>
        <w:t>. The Post-Closing Bonus Plan in form and substance reasonably satisfactory to each of Purchaser and Seller shall have been duly approved by the Company, with such plan to become effective as of the Closing Date.</w:t>
      </w:r>
    </w:p>
    <w:p>
      <w:pPr>
        <w:spacing w:after="0" w:line="173"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6.5</w:t>
      </w:r>
      <w:r>
        <w:rPr>
          <w:sz w:val="20"/>
          <w:szCs w:val="20"/>
          <w:color w:val="auto"/>
        </w:rPr>
        <w:tab/>
      </w:r>
      <w:r>
        <w:rPr>
          <w:rFonts w:ascii="Times New Roman" w:cs="Times New Roman" w:eastAsia="Times New Roman" w:hAnsi="Times New Roman"/>
          <w:sz w:val="21"/>
          <w:szCs w:val="21"/>
          <w:u w:val="single" w:color="auto"/>
          <w:color w:val="auto"/>
        </w:rPr>
        <w:t>Purchaser’s Conditions for AMR Submission</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submission of the application for AMR Approval is further subject to the satisfaction (or waiver by Purchaser in writing) of the following conditions as of the AMR Submission Date:</w:t>
      </w:r>
    </w:p>
    <w:p>
      <w:pPr>
        <w:spacing w:after="0" w:line="144" w:lineRule="exact"/>
        <w:rPr>
          <w:sz w:val="20"/>
          <w:szCs w:val="20"/>
          <w:color w:val="auto"/>
        </w:rPr>
      </w:pPr>
    </w:p>
    <w:p>
      <w:pPr>
        <w:ind w:left="2400" w:hanging="448"/>
        <w:spacing w:after="0"/>
        <w:tabs>
          <w:tab w:leader="none" w:pos="24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Seller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23"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Fundamental Representations and each of the representations and warranties of Seller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that are qualified by materiality (including “Company Material Adverse Effect”, “Seller Material Adverse Effect” or similar materiality qualification) shall be true and correct in all respects as of the AMR Submission Date as though made on such date with reference to the facts and circumstances then existing (except those representations and warranties that address matters as of a specified date, which shall be true and correct in all respects as of that specified date), except where the failure of such representations and warranties to be so true and correct is as a result of actions expressly permitted by or approved by Purchaser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69"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representations and warranties of Seller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the Seller Fundamental Representations and such representations and warranties as described in </w:t>
      </w:r>
      <w:r>
        <w:rPr>
          <w:rFonts w:ascii="Times New Roman" w:cs="Times New Roman" w:eastAsia="Times New Roman" w:hAnsi="Times New Roman"/>
          <w:sz w:val="22"/>
          <w:szCs w:val="22"/>
          <w:u w:val="single" w:color="auto"/>
          <w:color w:val="auto"/>
        </w:rPr>
        <w:t>Section 6.5(a)(ii)</w:t>
      </w:r>
      <w:r>
        <w:rPr>
          <w:rFonts w:ascii="Times New Roman" w:cs="Times New Roman" w:eastAsia="Times New Roman" w:hAnsi="Times New Roman"/>
          <w:sz w:val="22"/>
          <w:szCs w:val="22"/>
          <w:color w:val="auto"/>
        </w:rPr>
        <w:t xml:space="preserve"> above) shall be true and correct as of the AMR Submission Date as though made on such date with reference to the facts and circumstances then existing (except those representations and warranties that address matters as of a specified date, which shall be true and correct as of that specified date), except where the failure of such representations and warranties to be so true and correct (1) is as a result of actions expressly permitted by or approved by Purchaser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or (2) where such failures to be so true and correct that, individually or in the aggregate, have not had a Seller Material Adverse Effect or a Company Material Adverse Effect, as applicable.</w:t>
      </w:r>
    </w:p>
    <w:p>
      <w:pPr>
        <w:spacing w:after="0" w:line="186" w:lineRule="exact"/>
        <w:rPr>
          <w:rFonts w:ascii="Times New Roman" w:cs="Times New Roman" w:eastAsia="Times New Roman" w:hAnsi="Times New Roman"/>
          <w:sz w:val="22"/>
          <w:szCs w:val="22"/>
          <w:color w:val="auto"/>
        </w:rPr>
      </w:pPr>
    </w:p>
    <w:p>
      <w:pPr>
        <w:ind w:right="20" w:firstLine="1952"/>
        <w:spacing w:after="0" w:line="271" w:lineRule="auto"/>
        <w:tabs>
          <w:tab w:leader="none" w:pos="241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Obligations of Seller</w:t>
      </w:r>
      <w:r>
        <w:rPr>
          <w:rFonts w:ascii="Times New Roman" w:cs="Times New Roman" w:eastAsia="Times New Roman" w:hAnsi="Times New Roman"/>
          <w:sz w:val="22"/>
          <w:szCs w:val="22"/>
          <w:color w:val="auto"/>
        </w:rPr>
        <w:t>. Seller shall have performed or complied with in all material respects all obligations and covenants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1"/>
          <w:szCs w:val="21"/>
          <w:color w:val="auto"/>
        </w:rPr>
        <w:t>performed or complied with by it pursuant to this Agreement and Ancillary Agreements at or prior to the AMR Submission Date.</w:t>
      </w:r>
    </w:p>
    <w:p>
      <w:pPr>
        <w:spacing w:after="0" w:line="231" w:lineRule="exact"/>
        <w:rPr>
          <w:sz w:val="20"/>
          <w:szCs w:val="20"/>
          <w:color w:val="auto"/>
        </w:rPr>
      </w:pPr>
    </w:p>
    <w:p>
      <w:pPr>
        <w:ind w:right="20" w:firstLine="1952"/>
        <w:spacing w:after="0" w:line="271" w:lineRule="auto"/>
        <w:tabs>
          <w:tab w:leader="none" w:pos="249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Since the date hereof, there shall not have occurred and be continuing a Company Material Adverse Effect.</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47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Deliverables</w:t>
      </w:r>
      <w:r>
        <w:rPr>
          <w:rFonts w:ascii="Times New Roman" w:cs="Times New Roman" w:eastAsia="Times New Roman" w:hAnsi="Times New Roman"/>
          <w:sz w:val="22"/>
          <w:szCs w:val="22"/>
          <w:color w:val="auto"/>
        </w:rPr>
        <w:t xml:space="preserve">. Seller shall have delivered, or caused to be delivered, to Purchaser each of the deliverables described in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5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Certificates</w:t>
      </w:r>
      <w:r>
        <w:rPr>
          <w:rFonts w:ascii="Times New Roman" w:cs="Times New Roman" w:eastAsia="Times New Roman" w:hAnsi="Times New Roman"/>
          <w:sz w:val="22"/>
          <w:szCs w:val="22"/>
          <w:color w:val="auto"/>
        </w:rPr>
        <w:t xml:space="preserve">. Purchaser shall have received a certificate signed on behalf of Seller by their authorized officers (or functional equivalent) certifying as to the matters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6.5(c)</w:t>
      </w:r>
      <w:r>
        <w:rPr>
          <w:rFonts w:ascii="Times New Roman" w:cs="Times New Roman" w:eastAsia="Times New Roman" w:hAnsi="Times New Roman"/>
          <w:sz w:val="22"/>
          <w:szCs w:val="22"/>
          <w:color w:val="auto"/>
        </w:rPr>
        <w:t xml:space="preserve"> as of the AMR Submission Date.</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5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Unpaid Registered Capital</w:t>
      </w:r>
      <w:r>
        <w:rPr>
          <w:rFonts w:ascii="Times New Roman" w:cs="Times New Roman" w:eastAsia="Times New Roman" w:hAnsi="Times New Roman"/>
          <w:sz w:val="22"/>
          <w:szCs w:val="22"/>
          <w:color w:val="auto"/>
        </w:rPr>
        <w:t>. Seller shall have caused subscribed but unpaid registered capital of the Company in the amount of US$43,000,000 to be paid up through the recapitalization of the retained earnings of the Company in the same amount, and the Company shall have obtained a capital verification report issued by a qualified accounting firm in the PRC confirming that Seller has paid the registered capital of the Company in full amount (i.e., US$272,000,000). For avoidance of doubt, Seller bears the sole obligation to (i) pay up such registered capital, (ii) file any applicable Tax returns associated with such recapitalization of such retained earnings, and (iii) pay any applicable taxes associated therewith, and such obligation shall not be transferred to or assumed by Purchaser in any case.</w:t>
      </w:r>
    </w:p>
    <w:p>
      <w:pPr>
        <w:spacing w:after="0" w:line="180"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5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Documents for SAFE Registration Voucher</w:t>
      </w:r>
      <w:r>
        <w:rPr>
          <w:rFonts w:ascii="Times New Roman" w:cs="Times New Roman" w:eastAsia="Times New Roman" w:hAnsi="Times New Roman"/>
          <w:sz w:val="22"/>
          <w:szCs w:val="22"/>
          <w:color w:val="auto"/>
        </w:rPr>
        <w:t>. Seller shall have delivered, or caused to be delivered to Purchaser all the documents and materials to be executed and provided by Seller and the Company as Purchaser may reasonably require for the purpose of obtaining the SAFE Registration Voucher, provided that the new business license of the Company (and its photocopies affixed with the company chop of the Company) will be provided to Purchaser within one (1) Business Day following the AMR Approval. For avoidance of doubt, the application forms to be delivered by Seller shall include all information and supporting materials reasonably required of Seller and/or the Company and shall be duly executed by the Company and Seller (if applicable), except for the signature by the legal representative of the Company to be nominated by Purchaser.</w:t>
      </w:r>
    </w:p>
    <w:p>
      <w:pPr>
        <w:spacing w:after="0" w:line="181" w:lineRule="exact"/>
        <w:rPr>
          <w:rFonts w:ascii="Times New Roman" w:cs="Times New Roman" w:eastAsia="Times New Roman" w:hAnsi="Times New Roman"/>
          <w:sz w:val="22"/>
          <w:szCs w:val="22"/>
          <w:color w:val="auto"/>
        </w:rPr>
      </w:pPr>
    </w:p>
    <w:p>
      <w:pPr>
        <w:ind w:firstLine="1952"/>
        <w:spacing w:after="0" w:line="284" w:lineRule="auto"/>
        <w:tabs>
          <w:tab w:leader="none" w:pos="241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All Consents that are listed on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of the Seller Disclosure Letter shall have been received at or prior to the AMR Submission Date.</w:t>
      </w:r>
    </w:p>
    <w:p>
      <w:pPr>
        <w:spacing w:after="0" w:line="144"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Seller’s Conditions for AMR Submission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submission of the application for AMR Approval is further subject to the satisfaction (or waiver by Seller) of the following conditions as of the AMR Submission Date:</w:t>
      </w:r>
    </w:p>
    <w:p>
      <w:pPr>
        <w:spacing w:after="0" w:line="158" w:lineRule="exact"/>
        <w:rPr>
          <w:sz w:val="20"/>
          <w:szCs w:val="20"/>
          <w:color w:val="auto"/>
        </w:rPr>
      </w:pPr>
    </w:p>
    <w:p>
      <w:pPr>
        <w:jc w:val="both"/>
        <w:ind w:firstLine="1952"/>
        <w:spacing w:after="0" w:line="263" w:lineRule="auto"/>
        <w:tabs>
          <w:tab w:leader="none" w:pos="245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Purchaser</w:t>
      </w:r>
      <w:r>
        <w:rPr>
          <w:rFonts w:ascii="Times New Roman" w:cs="Times New Roman" w:eastAsia="Times New Roman" w:hAnsi="Times New Roman"/>
          <w:sz w:val="22"/>
          <w:szCs w:val="22"/>
          <w:color w:val="auto"/>
        </w:rPr>
        <w:t>. The representations and warranties of Purchaser shall be true and correct in all material aspects as of the AMR Submission Date as though made on such date with reference to the facts and circumstances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1" w:right="339" w:bottom="1440" w:gutter="0" w:footer="0" w:header="0"/>
        </w:sectPr>
      </w:pPr>
    </w:p>
    <w:bookmarkStart w:id="149" w:name="page150"/>
    <w:bookmarkEnd w:id="149"/>
    <w:p>
      <w:pPr>
        <w:ind w:right="20"/>
        <w:spacing w:after="0" w:line="271" w:lineRule="auto"/>
        <w:rPr>
          <w:sz w:val="20"/>
          <w:szCs w:val="20"/>
          <w:color w:val="auto"/>
        </w:rPr>
      </w:pPr>
      <w:r>
        <w:rPr>
          <w:rFonts w:ascii="Times New Roman" w:cs="Times New Roman" w:eastAsia="Times New Roman" w:hAnsi="Times New Roman"/>
          <w:sz w:val="22"/>
          <w:szCs w:val="22"/>
          <w:color w:val="auto"/>
        </w:rPr>
        <w:t>existing (except those representations and warranties that address matters only as of a specified date, which shall be true and correct in all respects as of that specified date).</w:t>
      </w:r>
    </w:p>
    <w:p>
      <w:pPr>
        <w:spacing w:after="0" w:line="158" w:lineRule="exact"/>
        <w:rPr>
          <w:sz w:val="20"/>
          <w:szCs w:val="20"/>
          <w:color w:val="auto"/>
        </w:rPr>
      </w:pPr>
    </w:p>
    <w:p>
      <w:pPr>
        <w:jc w:val="both"/>
        <w:ind w:firstLine="1952"/>
        <w:spacing w:after="0" w:line="263" w:lineRule="auto"/>
        <w:tabs>
          <w:tab w:leader="none" w:pos="242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Obligations of Purchaser</w:t>
      </w:r>
      <w:r>
        <w:rPr>
          <w:rFonts w:ascii="Times New Roman" w:cs="Times New Roman" w:eastAsia="Times New Roman" w:hAnsi="Times New Roman"/>
          <w:sz w:val="22"/>
          <w:szCs w:val="22"/>
          <w:color w:val="auto"/>
        </w:rPr>
        <w:t>. Purchaser shall have performed or complied with in all material respects all obligations and covenants required to be performed or complied with by it pursuant to this Agreement at or prior to the AMR Submission Date.</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41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Purchaser Deliverables</w:t>
      </w:r>
      <w:r>
        <w:rPr>
          <w:rFonts w:ascii="Times New Roman" w:cs="Times New Roman" w:eastAsia="Times New Roman" w:hAnsi="Times New Roman"/>
          <w:sz w:val="22"/>
          <w:szCs w:val="22"/>
          <w:color w:val="auto"/>
        </w:rPr>
        <w:t xml:space="preserve">. Purchaser shall have delivered, or cause to be delivered, to Seller each of the deliverables described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Seller shall have received a certificate signed on behalf of Purchaser by an executive officer of Purchaser certifying as to the matters set forth in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as of the AMR Submission Date.</w:t>
      </w:r>
    </w:p>
    <w:p>
      <w:pPr>
        <w:spacing w:after="0" w:line="167"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u w:val="single" w:color="auto"/>
          <w:color w:val="auto"/>
        </w:rPr>
        <w:t>Frustration of Conditions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Neither of Purchaser or Seller may rely, either as a basis for not consummating the transactions contemplated by this Agreement or terminating this Agreement, on the failure of any condition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 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as the case may be, to be satisfied if such failure was caused by such Party’s breach of any provision of this Agreement or failure to use its reasonable best efforts to consummate the transactions contemplated by this Agreement, as required by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6.8</w:t>
      </w:r>
      <w:r>
        <w:rPr>
          <w:sz w:val="20"/>
          <w:szCs w:val="20"/>
          <w:color w:val="auto"/>
        </w:rPr>
        <w:tab/>
      </w:r>
      <w:r>
        <w:rPr>
          <w:rFonts w:ascii="Times New Roman" w:cs="Times New Roman" w:eastAsia="Times New Roman" w:hAnsi="Times New Roman"/>
          <w:sz w:val="21"/>
          <w:szCs w:val="21"/>
          <w:u w:val="single" w:color="auto"/>
          <w:color w:val="auto"/>
        </w:rPr>
        <w:t>Waiver of Conditions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Purchaser may, at any time, and in its sole discretion, by written notice to Seller, waive, in whole or in part, any of the conditions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Condition to Closing</w:t>
      </w:r>
      <w:r>
        <w:rPr>
          <w:rFonts w:ascii="Times New Roman" w:cs="Times New Roman" w:eastAsia="Times New Roman" w:hAnsi="Times New Roman"/>
          <w:sz w:val="22"/>
          <w:szCs w:val="22"/>
          <w:color w:val="auto"/>
        </w:rPr>
        <w:t>”). For the avoidance of doubt, if Purchaser decides to waive any Condition to Closing and to proceed with the transactions contemplated by this Agreement, the waiver of such Condition to Closing shall constitute a full waiver of all rights and remedies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1" w:right="339" w:bottom="1440" w:gutter="0" w:footer="0" w:header="0"/>
        </w:sectPr>
      </w:pPr>
    </w:p>
    <w:bookmarkStart w:id="150" w:name="page151"/>
    <w:bookmarkEnd w:id="150"/>
    <w:p>
      <w:pPr>
        <w:ind w:right="20"/>
        <w:spacing w:after="0" w:line="271" w:lineRule="auto"/>
        <w:rPr>
          <w:sz w:val="20"/>
          <w:szCs w:val="20"/>
          <w:color w:val="auto"/>
        </w:rPr>
      </w:pPr>
      <w:r>
        <w:rPr>
          <w:rFonts w:ascii="Times New Roman" w:cs="Times New Roman" w:eastAsia="Times New Roman" w:hAnsi="Times New Roman"/>
          <w:sz w:val="22"/>
          <w:szCs w:val="22"/>
          <w:color w:val="auto"/>
        </w:rPr>
        <w:t>respect to any breach of any representation or warranty, covenant or other agreement in respect of which such waiver was granted.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 EXPENSES</w:t>
      </w:r>
    </w:p>
    <w:p>
      <w:pPr>
        <w:spacing w:after="0" w:line="207"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Termination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terminated and the transactions contemplated hereby may be terminated and abandoned at any time prior to the Closing:</w:t>
      </w:r>
    </w:p>
    <w:p>
      <w:pPr>
        <w:spacing w:after="0" w:line="158" w:lineRule="exact"/>
        <w:rPr>
          <w:sz w:val="20"/>
          <w:szCs w:val="20"/>
          <w:color w:val="auto"/>
        </w:rPr>
      </w:pPr>
    </w:p>
    <w:p>
      <w:pPr>
        <w:ind w:left="2400" w:hanging="448"/>
        <w:spacing w:after="0"/>
        <w:tabs>
          <w:tab w:leader="none" w:pos="240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mutual written consent of Seller and Purchaser;</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Seller or Purchaser:</w:t>
      </w:r>
    </w:p>
    <w:p>
      <w:pPr>
        <w:spacing w:after="0" w:line="219" w:lineRule="exact"/>
        <w:rPr>
          <w:rFonts w:ascii="Times New Roman" w:cs="Times New Roman" w:eastAsia="Times New Roman" w:hAnsi="Times New Roman"/>
          <w:sz w:val="22"/>
          <w:szCs w:val="22"/>
          <w:color w:val="auto"/>
        </w:rPr>
      </w:pPr>
    </w:p>
    <w:p>
      <w:pPr>
        <w:jc w:val="both"/>
        <w:ind w:firstLine="2600"/>
        <w:spacing w:after="0" w:line="252" w:lineRule="auto"/>
        <w:tabs>
          <w:tab w:leader="none" w:pos="3155"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has not occurred on or before December 31, 2024 (the “</w:t>
      </w:r>
      <w:r>
        <w:rPr>
          <w:rFonts w:ascii="Times New Roman" w:cs="Times New Roman" w:eastAsia="Times New Roman" w:hAnsi="Times New Roman"/>
          <w:sz w:val="22"/>
          <w:szCs w:val="22"/>
          <w:u w:val="single" w:color="auto"/>
          <w:color w:val="auto"/>
        </w:rPr>
        <w:t>Longstop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right of the Party seeking to terminate this Agreement pursuant to this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shall not be available to such Party if the failure to consummate the Closing by the Longstop Date arises out of, or results from, any material breach by such Party of any representation, warranty, covenant or obligation contained herein;</w:t>
      </w:r>
    </w:p>
    <w:p>
      <w:pPr>
        <w:spacing w:after="0" w:line="179" w:lineRule="exact"/>
        <w:rPr>
          <w:rFonts w:ascii="Times New Roman" w:cs="Times New Roman" w:eastAsia="Times New Roman" w:hAnsi="Times New Roman"/>
          <w:sz w:val="22"/>
          <w:szCs w:val="22"/>
          <w:color w:val="auto"/>
        </w:rPr>
      </w:pPr>
    </w:p>
    <w:p>
      <w:pPr>
        <w:jc w:val="both"/>
        <w:ind w:firstLine="2600"/>
        <w:spacing w:after="0" w:line="253" w:lineRule="auto"/>
        <w:tabs>
          <w:tab w:leader="none" w:pos="3117"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Restraint shall be in effect and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right of the Party seeking to terminate this Agreement under this </w:t>
      </w:r>
      <w:r>
        <w:rPr>
          <w:rFonts w:ascii="Times New Roman" w:cs="Times New Roman" w:eastAsia="Times New Roman" w:hAnsi="Times New Roman"/>
          <w:sz w:val="22"/>
          <w:szCs w:val="22"/>
          <w:u w:val="single" w:color="auto"/>
          <w:color w:val="auto"/>
        </w:rPr>
        <w:t>Section 7.1(b)(ii)</w:t>
      </w:r>
      <w:r>
        <w:rPr>
          <w:rFonts w:ascii="Times New Roman" w:cs="Times New Roman" w:eastAsia="Times New Roman" w:hAnsi="Times New Roman"/>
          <w:sz w:val="22"/>
          <w:szCs w:val="22"/>
          <w:color w:val="auto"/>
        </w:rPr>
        <w:t xml:space="preserve"> shall not be available to such Party if: (A) such Restraint arises out of, or results from, any material breach by such Party of any representation, warranty, covenant or obligation contained herein; or (B) such Party is then in material breach of any representation, warranty, covenant, or obligation contained herein;</w:t>
      </w:r>
    </w:p>
    <w:p>
      <w:pPr>
        <w:spacing w:after="0" w:line="178"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Purchaser prior to the Closing, by written notice to Seller from Purchaser in accordance with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if</w:t>
      </w:r>
    </w:p>
    <w:p>
      <w:pPr>
        <w:spacing w:after="0" w:line="207" w:lineRule="exact"/>
        <w:rPr>
          <w:rFonts w:ascii="Times New Roman" w:cs="Times New Roman" w:eastAsia="Times New Roman" w:hAnsi="Times New Roman"/>
          <w:sz w:val="22"/>
          <w:szCs w:val="22"/>
          <w:color w:val="auto"/>
        </w:rPr>
      </w:pPr>
    </w:p>
    <w:p>
      <w:pPr>
        <w:jc w:val="both"/>
        <w:ind w:firstLine="2600"/>
        <w:spacing w:after="0" w:line="262" w:lineRule="auto"/>
        <w:tabs>
          <w:tab w:leader="none" w:pos="3037"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there shall have been a breach by Seller of any of its representations, warranties, covenants or obligations set forth in this Agreement, which breach would result in the failure to satisfy any condition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and, in any such case, such breach (A) shall by its nature be incapable of being cured; or</w:t>
      </w:r>
    </w:p>
    <w:p>
      <w:pPr>
        <w:spacing w:after="0" w:line="2" w:lineRule="exact"/>
        <w:rPr>
          <w:rFonts w:ascii="Times New Roman" w:cs="Times New Roman" w:eastAsia="Times New Roman" w:hAnsi="Times New Roman"/>
          <w:sz w:val="21"/>
          <w:szCs w:val="21"/>
          <w:color w:val="auto"/>
        </w:rPr>
      </w:pPr>
    </w:p>
    <w:p>
      <w:pPr>
        <w:jc w:val="both"/>
        <w:ind w:firstLine="8"/>
        <w:spacing w:after="0" w:line="249" w:lineRule="auto"/>
        <w:tabs>
          <w:tab w:leader="none" w:pos="37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capable of being cured, shall not have been cured by the earlier of: (1) twenty (20) calendar days after written notice thereof shall have been received by Seller; or (2) the Longstop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of Purchaser under this </w:t>
      </w:r>
      <w:r>
        <w:rPr>
          <w:rFonts w:ascii="Times New Roman" w:cs="Times New Roman" w:eastAsia="Times New Roman" w:hAnsi="Times New Roman"/>
          <w:sz w:val="22"/>
          <w:szCs w:val="22"/>
          <w:u w:val="single" w:color="auto"/>
          <w:color w:val="auto"/>
        </w:rPr>
        <w:t>Section 7.1(c)(i)</w:t>
      </w:r>
      <w:r>
        <w:rPr>
          <w:rFonts w:ascii="Times New Roman" w:cs="Times New Roman" w:eastAsia="Times New Roman" w:hAnsi="Times New Roman"/>
          <w:sz w:val="22"/>
          <w:szCs w:val="22"/>
          <w:color w:val="auto"/>
        </w:rPr>
        <w:t xml:space="preserve"> shall not be available if Purchaser is then in material breach of any representation, warranty, covenant, or obligation contained herein; or</w:t>
      </w:r>
    </w:p>
    <w:p>
      <w:pPr>
        <w:spacing w:after="0" w:line="181" w:lineRule="exact"/>
        <w:rPr>
          <w:rFonts w:ascii="Times New Roman" w:cs="Times New Roman" w:eastAsia="Times New Roman" w:hAnsi="Times New Roman"/>
          <w:sz w:val="22"/>
          <w:szCs w:val="22"/>
          <w:color w:val="auto"/>
        </w:rPr>
      </w:pPr>
    </w:p>
    <w:p>
      <w:pPr>
        <w:ind w:left="3160" w:hanging="560"/>
        <w:spacing w:after="0"/>
        <w:tabs>
          <w:tab w:leader="none" w:pos="3160"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fails to consummate the Closing within five (5) Business Days after the later date of</w:t>
      </w:r>
    </w:p>
    <w:p>
      <w:pPr>
        <w:spacing w:after="0" w:line="27" w:lineRule="exact"/>
        <w:rPr>
          <w:rFonts w:ascii="Times New Roman" w:cs="Times New Roman" w:eastAsia="Times New Roman" w:hAnsi="Times New Roman"/>
          <w:sz w:val="22"/>
          <w:szCs w:val="22"/>
          <w:color w:val="auto"/>
        </w:rPr>
      </w:pPr>
    </w:p>
    <w:p>
      <w:pPr>
        <w:jc w:val="both"/>
        <w:ind w:firstLine="8"/>
        <w:spacing w:after="0" w:line="244" w:lineRule="auto"/>
        <w:tabs>
          <w:tab w:leader="none" w:pos="37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satisfaction or waiver (to the extent waiver is not prohibited by applicable Law) of the conditions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(other than those conditions that by their nature are to be satisfied at the Closing) and</w:t>
      </w:r>
    </w:p>
    <w:p>
      <w:pPr>
        <w:ind w:left="360" w:hanging="352"/>
        <w:spacing w:after="0"/>
        <w:tabs>
          <w:tab w:leader="none" w:pos="3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other date agreed in accordance with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1" w:right="339" w:bottom="1440" w:gutter="0" w:footer="0" w:header="0"/>
        </w:sectPr>
      </w:pPr>
    </w:p>
    <w:bookmarkStart w:id="151" w:name="page152"/>
    <w:bookmarkEnd w:id="151"/>
    <w:p>
      <w:pPr>
        <w:spacing w:after="0" w:line="271" w:lineRule="auto"/>
        <w:rPr>
          <w:sz w:val="20"/>
          <w:szCs w:val="20"/>
          <w:color w:val="auto"/>
        </w:rPr>
      </w:pPr>
      <w:r>
        <w:rPr>
          <w:rFonts w:ascii="Times New Roman" w:cs="Times New Roman" w:eastAsia="Times New Roman" w:hAnsi="Times New Roman"/>
          <w:sz w:val="22"/>
          <w:szCs w:val="22"/>
          <w:color w:val="auto"/>
        </w:rPr>
        <w:t xml:space="preserve">case of conditions set forth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such conditions are capable of being satisfied if the Closing were to occur in accordance with the terms of this Agreement; and</w:t>
      </w:r>
    </w:p>
    <w:p>
      <w:pPr>
        <w:spacing w:after="0" w:line="158" w:lineRule="exact"/>
        <w:rPr>
          <w:sz w:val="20"/>
          <w:szCs w:val="20"/>
          <w:color w:val="auto"/>
        </w:rPr>
      </w:pPr>
    </w:p>
    <w:p>
      <w:pPr>
        <w:ind w:left="2460" w:hanging="508"/>
        <w:spacing w:after="0"/>
        <w:tabs>
          <w:tab w:leader="none" w:pos="246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Seller prior to the Closing, by written notice to Purchaser from Seller in accordance with </w:t>
      </w:r>
      <w:r>
        <w:rPr>
          <w:rFonts w:ascii="Times New Roman" w:cs="Times New Roman" w:eastAsia="Times New Roman" w:hAnsi="Times New Roman"/>
          <w:sz w:val="21"/>
          <w:szCs w:val="21"/>
          <w:u w:val="single" w:color="auto"/>
          <w:color w:val="auto"/>
        </w:rPr>
        <w:t>Section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9.5</w:t>
      </w:r>
      <w:r>
        <w:rPr>
          <w:rFonts w:ascii="Times New Roman" w:cs="Times New Roman" w:eastAsia="Times New Roman" w:hAnsi="Times New Roman"/>
          <w:sz w:val="22"/>
          <w:szCs w:val="22"/>
          <w:color w:val="auto"/>
        </w:rPr>
        <w:t>, if</w:t>
      </w:r>
    </w:p>
    <w:p>
      <w:pPr>
        <w:spacing w:after="0" w:line="207" w:lineRule="exact"/>
        <w:rPr>
          <w:sz w:val="20"/>
          <w:szCs w:val="20"/>
          <w:color w:val="auto"/>
        </w:rPr>
      </w:pPr>
    </w:p>
    <w:p>
      <w:pPr>
        <w:jc w:val="both"/>
        <w:ind w:firstLine="2600"/>
        <w:spacing w:after="0" w:line="250" w:lineRule="auto"/>
        <w:tabs>
          <w:tab w:leader="none" w:pos="3015"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have been a breach by Purchaser of any of its representations, warranties, covenants or obligations set forth in this Agreement, which breach would result in the failure to satisfy any condition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and, in any such case, such breach (A) shall by its nature be incapable of being cured; or (B) if capable of being cured, shall not have been cured by the earlier of: (1) twenty (20) calendar days after written notice thereof shall have been delivered to Purchaser; or (2) the Longstop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of Seller under this </w:t>
      </w:r>
      <w:r>
        <w:rPr>
          <w:rFonts w:ascii="Times New Roman" w:cs="Times New Roman" w:eastAsia="Times New Roman" w:hAnsi="Times New Roman"/>
          <w:sz w:val="22"/>
          <w:szCs w:val="22"/>
          <w:u w:val="single" w:color="auto"/>
          <w:color w:val="auto"/>
        </w:rPr>
        <w:t>Section 7.1(d)(i)</w:t>
      </w:r>
      <w:r>
        <w:rPr>
          <w:rFonts w:ascii="Times New Roman" w:cs="Times New Roman" w:eastAsia="Times New Roman" w:hAnsi="Times New Roman"/>
          <w:sz w:val="22"/>
          <w:szCs w:val="22"/>
          <w:color w:val="auto"/>
        </w:rPr>
        <w:t xml:space="preserve"> shall not be available if Seller is then in material breach of any representation, warranty, covenant or obligation contained herein; or</w:t>
      </w:r>
    </w:p>
    <w:p>
      <w:pPr>
        <w:spacing w:after="0" w:line="180" w:lineRule="exact"/>
        <w:rPr>
          <w:rFonts w:ascii="Times New Roman" w:cs="Times New Roman" w:eastAsia="Times New Roman" w:hAnsi="Times New Roman"/>
          <w:sz w:val="22"/>
          <w:szCs w:val="22"/>
          <w:color w:val="auto"/>
        </w:rPr>
      </w:pPr>
    </w:p>
    <w:p>
      <w:pPr>
        <w:jc w:val="both"/>
        <w:ind w:firstLine="2600"/>
        <w:spacing w:after="0" w:line="263" w:lineRule="auto"/>
        <w:tabs>
          <w:tab w:leader="none" w:pos="3123" w:val="left"/>
        </w:tabs>
        <w:numPr>
          <w:ilvl w:val="2"/>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Purchaser fails to consummate the Closing within five (5) Business Days after the later date of (A) satisfaction or waiver (to the extent waiver is not prohibited by applicable Law) of the conditions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(other than those conditions that by their nature are to be satisfied at the Closing) and</w:t>
      </w:r>
    </w:p>
    <w:p>
      <w:pPr>
        <w:spacing w:after="0" w:line="1" w:lineRule="exact"/>
        <w:rPr>
          <w:rFonts w:ascii="Times New Roman" w:cs="Times New Roman" w:eastAsia="Times New Roman" w:hAnsi="Times New Roman"/>
          <w:sz w:val="21"/>
          <w:szCs w:val="21"/>
          <w:color w:val="auto"/>
        </w:rPr>
      </w:pPr>
    </w:p>
    <w:p>
      <w:pPr>
        <w:jc w:val="both"/>
        <w:ind w:firstLine="8"/>
        <w:spacing w:after="0" w:line="251" w:lineRule="auto"/>
        <w:tabs>
          <w:tab w:leader="none" w:pos="37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other date agreed in accordance with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in the case of conditions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such conditions are capable of being satisfied if the Closing were to occur in accordance with the terms of this Agreement.</w:t>
      </w:r>
    </w:p>
    <w:p>
      <w:pPr>
        <w:spacing w:after="0" w:line="17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this Agreement may be terminated and the transactions contemplated hereby may be terminated and abandoned by Seller, by written notice to Purchaser from Seller in accordance with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if Seller has not received the Estimated Closing Payment, together with any interest thereon, within twenty (20) Business Days following the Closing either due to Purchaser’s failure to pay the Estimated Closing Payment, together with any interest thereon in accordance with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or as a result of Seller’s failure to enforce and receive the Estimated Closing Payment under the applicable Letter of Guarantee.</w:t>
      </w:r>
    </w:p>
    <w:p>
      <w:pPr>
        <w:spacing w:after="0" w:line="18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391"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failure of the Parties (or the applicable parties thereto) to agree on the terms, conditions and provisions of any of the Ancillary Agreements shall not entitle any Party to terminate this Agreement or the transactions contemplated hereby before the Longstop Date.</w:t>
      </w:r>
    </w:p>
    <w:p>
      <w:pPr>
        <w:spacing w:after="0" w:line="167"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Effect of Termination; Procedure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Except as set forth in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if, and in the event, this Agreement is terminated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63" w:lineRule="auto"/>
        <w:tabs>
          <w:tab w:leader="none" w:pos="240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become void and of no effect with no liability or further obligation on the part of any Party hereto arising under or out of this Agreement, except that: (i) the provisions of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 xml:space="preserve"> (Access to Information; Confidentiality),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1" w:right="339" w:bottom="1440" w:gutter="0" w:footer="0" w:header="0"/>
        </w:sectPr>
      </w:pPr>
    </w:p>
    <w:bookmarkStart w:id="152" w:name="page153"/>
    <w:bookmarkEnd w:id="152"/>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(Effect of Termination; Procedure),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(Fees and Expenses),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(Termination Fee), and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(Miscellaneous), shall each survive the termination hereof; and (ii) no such termination shall relieve any Party of any liability for losses, costs and damages incurred by the other Party on account of breach by any Party hereto; and</w:t>
      </w:r>
    </w:p>
    <w:p>
      <w:pPr>
        <w:spacing w:after="0" w:line="186" w:lineRule="exact"/>
        <w:rPr>
          <w:sz w:val="20"/>
          <w:szCs w:val="20"/>
          <w:color w:val="auto"/>
        </w:rPr>
      </w:pPr>
    </w:p>
    <w:p>
      <w:pPr>
        <w:jc w:val="both"/>
        <w:ind w:firstLine="1952"/>
        <w:spacing w:after="0" w:line="247" w:lineRule="auto"/>
        <w:tabs>
          <w:tab w:leader="none" w:pos="256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filings, applications and other submissions made by any Party to any Person, including any Governmental Authority, in connection with the transactions contemplated by this Agreement shall, to the extent practicable and not legally prohibited, be withdrawn from such Person by such Party and any transfer of the Purchased Interest prior to payment of the Estimated Closing Payment, together with any interest thereon, in full hereunder shall be unwound. Without limiting the generality of the foregoing, in such case, Seller shall be entitled to require that Purchaser transfer the Purchased Interest back to Seller or to any other Person designated by Seller, and Purchaser agrees to take or cause to be taken, all actions, and to do, or cause to be done, all things necessary, proper or advisable (in each case, subject to applicable Laws) to transfer the Purchased Interest back to Seller or its designee as promptly as practicable, including (i) the preparation and filing of all forms, registrations and notices required to be submitted to SAMR and any other competent Governmental Authority, (ii) the taking of all reasonable actions necessary to obtain (and with cooperation with Seller and the Company in obtaining) any Consent, clearance, expiration or termination of waiting periods or other confirmation of, any Governmental Authority required to be obtained or made by Purchaser, the Company, Seller or any of Seller’s designees in connection with the transfer of the Purchased Interest. The cost (including Taxes) for such unwinding transfer shall be borne (w) equally by Purchaser and Seller, if this Agreement is terminated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(x) equally by Purchaser and Seller, if this Agreement is terminated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to the extent such termination arises out of, or results from, any material breach by any Party of any representation, warranty, covenant or obligation contained herein, such cost shall be borne entirely by such breaching Party, (y) by Seller if this Agreement is terminated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(z) by Purchaser if this Agreement is terminated pursuant to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u w:val="single" w:color="auto"/>
          <w:color w:val="auto"/>
        </w:rPr>
        <w:t>Fees and Expenses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Other than as expressly provided in this Agreement, including as specifically set forth in </w:t>
      </w:r>
      <w:r>
        <w:rPr>
          <w:rFonts w:ascii="Times New Roman" w:cs="Times New Roman" w:eastAsia="Times New Roman" w:hAnsi="Times New Roman"/>
          <w:sz w:val="22"/>
          <w:szCs w:val="22"/>
          <w:u w:val="single" w:color="auto"/>
          <w:color w:val="auto"/>
        </w:rPr>
        <w:t>Section 2.6(f)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all fees, costs and expenses incurred in connection with this Agreement and the transactions contemplated hereby shall be paid by the Party incurring such costs or expenses, whether or not the transactions contemplated by this Agreement are consummated.</w:t>
      </w:r>
    </w:p>
    <w:p>
      <w:pPr>
        <w:spacing w:after="0" w:line="17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Termination Fee</w:t>
      </w:r>
    </w:p>
    <w:p>
      <w:pPr>
        <w:spacing w:after="0" w:line="220" w:lineRule="exact"/>
        <w:rPr>
          <w:sz w:val="20"/>
          <w:szCs w:val="20"/>
          <w:color w:val="auto"/>
        </w:rPr>
      </w:pPr>
    </w:p>
    <w:p>
      <w:pPr>
        <w:ind w:right="20" w:firstLine="1952"/>
        <w:spacing w:after="0" w:line="271" w:lineRule="auto"/>
        <w:tabs>
          <w:tab w:leader="none" w:pos="261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Purchaser Termination Fee</w:t>
      </w:r>
      <w:r>
        <w:rPr>
          <w:rFonts w:ascii="Times New Roman" w:cs="Times New Roman" w:eastAsia="Times New Roman" w:hAnsi="Times New Roman"/>
          <w:sz w:val="22"/>
          <w:szCs w:val="22"/>
          <w:color w:val="auto"/>
        </w:rPr>
        <w:t>. Purchaser shall pay to Seller US$10,000,000 by wire transfer of immediately available funds in U.S. Dollar to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153" w:name="page154"/>
    <w:bookmarkEnd w:id="153"/>
    <w:p>
      <w:pPr>
        <w:spacing w:after="0" w:line="271" w:lineRule="auto"/>
        <w:rPr>
          <w:sz w:val="20"/>
          <w:szCs w:val="20"/>
          <w:color w:val="auto"/>
        </w:rPr>
      </w:pPr>
      <w:r>
        <w:rPr>
          <w:rFonts w:ascii="Times New Roman" w:cs="Times New Roman" w:eastAsia="Times New Roman" w:hAnsi="Times New Roman"/>
          <w:sz w:val="22"/>
          <w:szCs w:val="22"/>
          <w:color w:val="auto"/>
        </w:rPr>
        <w:t>Account (such amount, the “</w:t>
      </w:r>
      <w:r>
        <w:rPr>
          <w:rFonts w:ascii="Times New Roman" w:cs="Times New Roman" w:eastAsia="Times New Roman" w:hAnsi="Times New Roman"/>
          <w:sz w:val="22"/>
          <w:szCs w:val="22"/>
          <w:u w:val="single" w:color="auto"/>
          <w:color w:val="auto"/>
        </w:rPr>
        <w:t>Purchaser Termination Fee</w:t>
      </w:r>
      <w:r>
        <w:rPr>
          <w:rFonts w:ascii="Times New Roman" w:cs="Times New Roman" w:eastAsia="Times New Roman" w:hAnsi="Times New Roman"/>
          <w:sz w:val="22"/>
          <w:szCs w:val="22"/>
          <w:color w:val="auto"/>
        </w:rPr>
        <w:t>”, together with the Seller Termination Fee, the “</w:t>
      </w:r>
      <w:r>
        <w:rPr>
          <w:rFonts w:ascii="Times New Roman" w:cs="Times New Roman" w:eastAsia="Times New Roman" w:hAnsi="Times New Roman"/>
          <w:sz w:val="22"/>
          <w:szCs w:val="22"/>
          <w:u w:val="single" w:color="auto"/>
          <w:color w:val="auto"/>
        </w:rPr>
        <w:t>Termination Fee</w:t>
      </w:r>
      <w:r>
        <w:rPr>
          <w:rFonts w:ascii="Times New Roman" w:cs="Times New Roman" w:eastAsia="Times New Roman" w:hAnsi="Times New Roman"/>
          <w:sz w:val="22"/>
          <w:szCs w:val="22"/>
          <w:color w:val="auto"/>
        </w:rPr>
        <w:t>”) within five (5) Business Days after termination:</w:t>
      </w:r>
    </w:p>
    <w:p>
      <w:pPr>
        <w:spacing w:after="0" w:line="158" w:lineRule="exact"/>
        <w:rPr>
          <w:sz w:val="20"/>
          <w:szCs w:val="20"/>
          <w:color w:val="auto"/>
        </w:rPr>
      </w:pPr>
    </w:p>
    <w:p>
      <w:pPr>
        <w:ind w:left="3020" w:hanging="420"/>
        <w:spacing w:after="0"/>
        <w:tabs>
          <w:tab w:leader="none" w:pos="302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pursuant to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pursuant to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00"/>
        <w:spacing w:after="0" w:line="252" w:lineRule="auto"/>
        <w:tabs>
          <w:tab w:leader="none" w:pos="3135"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or Purchaser pursuant to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and Seller would have been entitled to terminate this Agreement pursuant to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but for (A) such termination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7.1(b)(i)</w:t>
      </w:r>
      <w:r>
        <w:rPr>
          <w:rFonts w:ascii="Times New Roman" w:cs="Times New Roman" w:eastAsia="Times New Roman" w:hAnsi="Times New Roman"/>
          <w:sz w:val="22"/>
          <w:szCs w:val="22"/>
          <w:color w:val="auto"/>
        </w:rPr>
        <w:t xml:space="preserve"> or (B) the fact that the expiration of the three(3)-Business Day period described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occurs after the Longstop Date; or</w:t>
      </w:r>
    </w:p>
    <w:p>
      <w:pPr>
        <w:spacing w:after="0" w:line="192" w:lineRule="exact"/>
        <w:rPr>
          <w:rFonts w:ascii="Times New Roman" w:cs="Times New Roman" w:eastAsia="Times New Roman" w:hAnsi="Times New Roman"/>
          <w:sz w:val="22"/>
          <w:szCs w:val="22"/>
          <w:color w:val="auto"/>
        </w:rPr>
      </w:pPr>
    </w:p>
    <w:p>
      <w:pPr>
        <w:ind w:firstLine="2600"/>
        <w:spacing w:after="0" w:line="271" w:lineRule="auto"/>
        <w:tabs>
          <w:tab w:leader="none" w:pos="3195"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or Purchaser pursuant to </w:t>
      </w:r>
      <w:r>
        <w:rPr>
          <w:rFonts w:ascii="Times New Roman" w:cs="Times New Roman" w:eastAsia="Times New Roman" w:hAnsi="Times New Roman"/>
          <w:sz w:val="22"/>
          <w:szCs w:val="22"/>
          <w:u w:val="single" w:color="auto"/>
          <w:color w:val="auto"/>
        </w:rPr>
        <w:t>Section 7.1(b)(ii)</w:t>
      </w:r>
      <w:r>
        <w:rPr>
          <w:rFonts w:ascii="Times New Roman" w:cs="Times New Roman" w:eastAsia="Times New Roman" w:hAnsi="Times New Roman"/>
          <w:sz w:val="22"/>
          <w:szCs w:val="22"/>
          <w:color w:val="auto"/>
        </w:rPr>
        <w:t xml:space="preserve"> to the extent such Restraint arises under the PRC Anti-Monopoly Law.</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2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Termination Fee</w:t>
      </w:r>
      <w:r>
        <w:rPr>
          <w:rFonts w:ascii="Times New Roman" w:cs="Times New Roman" w:eastAsia="Times New Roman" w:hAnsi="Times New Roman"/>
          <w:sz w:val="22"/>
          <w:szCs w:val="22"/>
          <w:color w:val="auto"/>
        </w:rPr>
        <w:t>. Seller shall pay to Purchaser US$10,000,000 by wire transfer of immediately available funds in U.S. Dollar to a bank account located in PRC as designated by Purchaser (such amount,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 Fee</w:t>
      </w:r>
      <w:r>
        <w:rPr>
          <w:rFonts w:ascii="Times New Roman" w:cs="Times New Roman" w:eastAsia="Times New Roman" w:hAnsi="Times New Roman"/>
          <w:sz w:val="22"/>
          <w:szCs w:val="22"/>
          <w:color w:val="auto"/>
        </w:rPr>
        <w:t>”) within three (3) Business Days after termination:</w:t>
      </w:r>
    </w:p>
    <w:p>
      <w:pPr>
        <w:spacing w:after="0" w:line="172"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Purchaser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or</w:t>
      </w:r>
    </w:p>
    <w:p>
      <w:pPr>
        <w:spacing w:after="0" w:line="233" w:lineRule="exact"/>
        <w:rPr>
          <w:rFonts w:ascii="Times New Roman" w:cs="Times New Roman" w:eastAsia="Times New Roman" w:hAnsi="Times New Roman"/>
          <w:sz w:val="22"/>
          <w:szCs w:val="22"/>
          <w:color w:val="auto"/>
        </w:rPr>
      </w:pPr>
    </w:p>
    <w:p>
      <w:pPr>
        <w:jc w:val="both"/>
        <w:ind w:firstLine="2600"/>
        <w:spacing w:after="0" w:line="252" w:lineRule="auto"/>
        <w:tabs>
          <w:tab w:leader="none" w:pos="3219"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by Seller or Purchaser pursuant to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and Purchaser would have been entitled to terminate this Agreement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but for (A) such termination pursuant to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 xml:space="preserve"> or (B) the fact that the expiration of the three (3)-Business Day period described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occurs after the Longstop Date.</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3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fails to pay such Termination Fee when due, such Party shall also pay to the other Party all of such other Party’s costs and expenses (including attorneys’ fees) in connection with all actions to collect such Termination Fee.</w:t>
      </w:r>
    </w:p>
    <w:p>
      <w:pPr>
        <w:spacing w:after="0" w:line="16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5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and Seller acknowledge that, if the Termination Fee is required to be paid as a result of a termination of this Agreement, Seller’s or Purchaser’s, as the case may be, right to receive such Termination Fee shall be in addition to any other remedy to which it is entitled according to the Law, and Seller’s or Purchaser’s, as the case may be, collection of the Termination Fee pursuant to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shall not restrict, impair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1"/>
          <w:szCs w:val="21"/>
          <w:color w:val="auto"/>
        </w:rPr>
        <w:t>otherwise limit Seller or Purchaser, as the case may be, from pursuing any other remedy to which it is entitled at Law or in equity.</w:t>
      </w:r>
    </w:p>
    <w:p>
      <w:pPr>
        <w:spacing w:after="0" w:line="2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09"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Survival</w:t>
      </w:r>
    </w:p>
    <w:p>
      <w:pPr>
        <w:spacing w:after="0" w:line="220" w:lineRule="exact"/>
        <w:rPr>
          <w:sz w:val="20"/>
          <w:szCs w:val="20"/>
          <w:color w:val="auto"/>
        </w:rPr>
      </w:pPr>
    </w:p>
    <w:p>
      <w:pPr>
        <w:jc w:val="both"/>
        <w:ind w:firstLine="1952"/>
        <w:spacing w:after="0" w:line="255" w:lineRule="auto"/>
        <w:tabs>
          <w:tab w:leader="none" w:pos="24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and other provisions of this Agreement, the representations and warranties of Seller on the Company contained in this Agreement shall survive the Closing and remain in full force and effect until the date that is eighteen (18) months following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 the Seller Fundamental Representations, shall survive until the third (3rd) anniversary of the Closing Date, and (ii) the representations and warranties with respect to Tax matters as set forth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hereof shall survive until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w:t>
      </w:r>
    </w:p>
    <w:p>
      <w:pPr>
        <w:spacing w:after="0" w:line="9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5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and other provisions of this Agreement, the representations and warranties of Purchaser contained in this Agreement shall survive the Closing and remain in full force and effect until the until the third (3rd) anniversary of the Closing Date.</w:t>
      </w:r>
    </w:p>
    <w:p>
      <w:pPr>
        <w:spacing w:after="0" w:line="172"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44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covenants and agreements of the Seller and the Purchaser that by their terms apply or are to be performed in whole or in part after the Closing Date shall survive the Closing for the period provided in such covenants and agreements, if any, or until fully performed.</w:t>
      </w:r>
    </w:p>
    <w:p>
      <w:pPr>
        <w:spacing w:after="0" w:line="167"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1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and other provisions of this Agreement, the matters contained in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shall survive the Closing until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anniversary of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indemnification obligation arising pursuant to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solely to the extent attributable to any failure of the Company to comply with applicable Laws relating to transfer pricing shall survive the Closing until the ten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w:t>
      </w:r>
    </w:p>
    <w:p>
      <w:pPr>
        <w:spacing w:after="0" w:line="110" w:lineRule="exact"/>
        <w:rPr>
          <w:rFonts w:ascii="Times New Roman" w:cs="Times New Roman" w:eastAsia="Times New Roman" w:hAnsi="Times New Roman"/>
          <w:sz w:val="22"/>
          <w:szCs w:val="22"/>
          <w:color w:val="auto"/>
        </w:rPr>
      </w:pPr>
    </w:p>
    <w:p>
      <w:pPr>
        <w:jc w:val="both"/>
        <w:ind w:firstLine="1952"/>
        <w:spacing w:after="0" w:line="268" w:lineRule="auto"/>
        <w:tabs>
          <w:tab w:leader="none" w:pos="242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claim for the recovery of any Losses may be asserted against Seller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unless a written notice is received by Indemnifying Person pursuant to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on or prior to the date on which the representation and warranty or covenant upon which such claim is based ceases to survive as set forth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in which case such representation and warranty or covenant shall survive as to such claim until such claim has been finally resolved.</w:t>
      </w:r>
    </w:p>
    <w:p>
      <w:pPr>
        <w:spacing w:after="0" w:line="163"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Indemnification by Seller</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Subject to the other terms and conditions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from and after the Closing, Seller shall indemnify Purchaser (and its Representatives) against, and shall hold Purchaser (and its Representatives) harmless from and against, any and all Losses incurred or sustained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color w:val="auto"/>
        </w:rPr>
        <w:t>imposed upon, Purchaser (and its Representatives) as a result of or in connection with any of the following:</w:t>
      </w:r>
    </w:p>
    <w:p>
      <w:pPr>
        <w:spacing w:after="0" w:line="220" w:lineRule="exact"/>
        <w:rPr>
          <w:sz w:val="20"/>
          <w:szCs w:val="20"/>
          <w:color w:val="auto"/>
        </w:rPr>
      </w:pPr>
    </w:p>
    <w:p>
      <w:pPr>
        <w:jc w:val="both"/>
        <w:ind w:firstLine="1952"/>
        <w:spacing w:after="0" w:line="256" w:lineRule="auto"/>
        <w:tabs>
          <w:tab w:leader="none" w:pos="243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or inaccuracy in any representation and warranty made by Seller in this Agreement as of the date of this Agreement or as of the Closing Date (as though such representation and warranty was made as of the Closing Date rather than the date of this Agreement, except in the case of any individual representation and warranty that by its terms speaks only as of a specific date or dates); and</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43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any covenant or agreement to be performed by the Company (to the extent and only to the extent such covenant or agreement is to be performed at or before the Closing) or Seller (before, at or after the Closing).</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6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or delay by Seller to make any payments (including Seller’s payment obligations under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refund of any adjustment to the Estimated Closing Payment under the provisions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2.2(b)(ii)</w:t>
      </w:r>
      <w:r>
        <w:rPr>
          <w:rFonts w:ascii="Times New Roman" w:cs="Times New Roman" w:eastAsia="Times New Roman" w:hAnsi="Times New Roman"/>
          <w:sz w:val="22"/>
          <w:szCs w:val="22"/>
          <w:color w:val="auto"/>
        </w:rPr>
        <w:t xml:space="preserve"> and under </w:t>
      </w:r>
      <w:r>
        <w:rPr>
          <w:rFonts w:ascii="Times New Roman" w:cs="Times New Roman" w:eastAsia="Times New Roman" w:hAnsi="Times New Roman"/>
          <w:sz w:val="22"/>
          <w:szCs w:val="22"/>
          <w:u w:val="single" w:color="auto"/>
          <w:color w:val="auto"/>
        </w:rPr>
        <w:t>Section 2.4(a)(ii)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2.4(b)(i)</w:t>
      </w:r>
      <w:r>
        <w:rPr>
          <w:rFonts w:ascii="Times New Roman" w:cs="Times New Roman" w:eastAsia="Times New Roman" w:hAnsi="Times New Roman"/>
          <w:sz w:val="22"/>
          <w:szCs w:val="22"/>
          <w:color w:val="auto"/>
        </w:rPr>
        <w:t>), whereby Seller shall pay Purchaser interest thereon at the rate of 1% above SOFR per annum for the relevant days, compounding annually, accruing daily from the date that such amount first becomes payable and continuing until such amount, together with the interest payable thereon, has been paid in full.</w:t>
      </w:r>
    </w:p>
    <w:p>
      <w:pPr>
        <w:spacing w:after="0" w:line="179"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u w:val="single" w:color="auto"/>
          <w:color w:val="auto"/>
        </w:rPr>
        <w:t>Indemnification by Purchaser</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Subject to the other terms and conditions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from and after the Closing, Purchaser shall indemnify Seller against, and shall hold Seller harmless from and against, any and all Losses incurred or sustained by, or imposed upon, Seller as a result of or in connection with any of the following:</w:t>
      </w:r>
    </w:p>
    <w:p>
      <w:pPr>
        <w:spacing w:after="0" w:line="167" w:lineRule="exact"/>
        <w:rPr>
          <w:sz w:val="20"/>
          <w:szCs w:val="20"/>
          <w:color w:val="auto"/>
        </w:rPr>
      </w:pPr>
    </w:p>
    <w:p>
      <w:pPr>
        <w:jc w:val="both"/>
        <w:ind w:firstLine="1952"/>
        <w:spacing w:after="0" w:line="256" w:lineRule="auto"/>
        <w:tabs>
          <w:tab w:leader="none" w:pos="241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or inaccuracy in any representation and warranty made by Purchaser in this Agreement as of the date of this Agreement or as of the Closing Date (as though such representation and warranty was made as of the Closing Date rather than the date of this Agreement, except in the case of any individual representation and warranty that by its terms speaks only as of a specific date or dates); and</w:t>
      </w:r>
    </w:p>
    <w:p>
      <w:pPr>
        <w:spacing w:after="0" w:line="176" w:lineRule="exact"/>
        <w:rPr>
          <w:rFonts w:ascii="Times New Roman" w:cs="Times New Roman" w:eastAsia="Times New Roman" w:hAnsi="Times New Roman"/>
          <w:sz w:val="22"/>
          <w:szCs w:val="22"/>
          <w:color w:val="auto"/>
        </w:rPr>
      </w:pPr>
    </w:p>
    <w:p>
      <w:pPr>
        <w:ind w:left="2560" w:hanging="608"/>
        <w:spacing w:after="0"/>
        <w:tabs>
          <w:tab w:leader="none" w:pos="25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any covenant or agreement to be performed by Purchaser (before, at or after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w:t>
      </w:r>
    </w:p>
    <w:p>
      <w:pPr>
        <w:spacing w:after="0" w:line="195"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5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or delay by Purchaser to make any payments under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whereby Purchaser shall pay Seller interest thereon at the rate of 1% above SOFR per annum for the relevant days, compounding annually, accruing daily from the date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1"/>
          <w:szCs w:val="21"/>
          <w:color w:val="auto"/>
        </w:rPr>
        <w:t>amount first becomes payable and continuing until such amount, together with the interest payable thereon, has been paid in full.</w:t>
      </w:r>
    </w:p>
    <w:p>
      <w:pPr>
        <w:spacing w:after="0" w:line="231"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u w:val="single" w:color="auto"/>
          <w:color w:val="auto"/>
        </w:rPr>
        <w:t>Certain Limitations</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 xml:space="preserve">The Party making a claim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together with its Representatives, are referred to as the “</w:t>
      </w:r>
      <w:r>
        <w:rPr>
          <w:rFonts w:ascii="Times New Roman" w:cs="Times New Roman" w:eastAsia="Times New Roman" w:hAnsi="Times New Roman"/>
          <w:sz w:val="21"/>
          <w:szCs w:val="21"/>
          <w:u w:val="single" w:color="auto"/>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xml:space="preserve">,” and the Party against whom such claims are asserted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is referred to as the “</w:t>
      </w:r>
      <w:r>
        <w:rPr>
          <w:rFonts w:ascii="Times New Roman" w:cs="Times New Roman" w:eastAsia="Times New Roman" w:hAnsi="Times New Roman"/>
          <w:sz w:val="21"/>
          <w:szCs w:val="21"/>
          <w:u w:val="single" w:color="auto"/>
          <w:color w:val="auto"/>
        </w:rPr>
        <w:t>Indemnifying Person</w:t>
      </w:r>
      <w:r>
        <w:rPr>
          <w:rFonts w:ascii="Times New Roman" w:cs="Times New Roman" w:eastAsia="Times New Roman" w:hAnsi="Times New Roman"/>
          <w:sz w:val="21"/>
          <w:szCs w:val="21"/>
          <w:color w:val="auto"/>
        </w:rPr>
        <w:t xml:space="preserve">.” The indemnification provided for in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8.8</w:t>
      </w:r>
      <w:r>
        <w:rPr>
          <w:rFonts w:ascii="Times New Roman" w:cs="Times New Roman" w:eastAsia="Times New Roman" w:hAnsi="Times New Roman"/>
          <w:sz w:val="21"/>
          <w:szCs w:val="21"/>
          <w:color w:val="auto"/>
        </w:rPr>
        <w:t xml:space="preserve"> shall be subject to the following limitations:</w:t>
      </w:r>
    </w:p>
    <w:p>
      <w:pPr>
        <w:spacing w:after="0" w:line="151" w:lineRule="exact"/>
        <w:rPr>
          <w:sz w:val="20"/>
          <w:szCs w:val="20"/>
          <w:color w:val="auto"/>
        </w:rPr>
      </w:pPr>
    </w:p>
    <w:p>
      <w:pPr>
        <w:jc w:val="both"/>
        <w:ind w:firstLine="1952"/>
        <w:spacing w:after="0" w:line="249" w:lineRule="auto"/>
        <w:tabs>
          <w:tab w:leader="none" w:pos="250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Indemnifying Person shall not be liable to the Indemnified Person for indemnification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(but not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as the case may be, until the aggregate amount of all Losses indemnifiable to the Indemnified Person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exceeds two percent (2%) of the Base Purchase Price (the “</w:t>
      </w:r>
      <w:r>
        <w:rPr>
          <w:rFonts w:ascii="Times New Roman" w:cs="Times New Roman" w:eastAsia="Times New Roman" w:hAnsi="Times New Roman"/>
          <w:sz w:val="22"/>
          <w:szCs w:val="22"/>
          <w:u w:val="single" w:color="auto"/>
          <w:color w:val="auto"/>
        </w:rPr>
        <w:t>Deductible</w:t>
      </w:r>
      <w:r>
        <w:rPr>
          <w:rFonts w:ascii="Times New Roman" w:cs="Times New Roman" w:eastAsia="Times New Roman" w:hAnsi="Times New Roman"/>
          <w:sz w:val="22"/>
          <w:szCs w:val="22"/>
          <w:color w:val="auto"/>
        </w:rPr>
        <w:t xml:space="preserve">”), in which event the Indemnifying Person shall only be required to pay or be liable for Losses in excess of the Deductible. With respect to any claim as to which the Indemnified Person may be entitled to indemnification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(but not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as the case may be, the Indemnifying Person shall not be liable for any individual or series of related Losses which do not exceed one tenth of a percent (0.1%) of the Base Purchase Price (which Losses shall not be counted toward the Deductible).</w:t>
      </w:r>
    </w:p>
    <w:p>
      <w:pPr>
        <w:spacing w:after="0" w:line="181"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02"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all Losses for which an Indemnifying Person shall be liable pursuant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in respect of Fraud and/or a breach of the Seller Fundamental Representations and </w:t>
      </w:r>
      <w:r>
        <w:rPr>
          <w:rFonts w:ascii="Times New Roman" w:cs="Times New Roman" w:eastAsia="Times New Roman" w:hAnsi="Times New Roman"/>
          <w:sz w:val="21"/>
          <w:szCs w:val="21"/>
          <w:u w:val="single" w:color="auto"/>
          <w:color w:val="auto"/>
        </w:rPr>
        <w:t>Section 8.8</w:t>
      </w:r>
      <w:r>
        <w:rPr>
          <w:rFonts w:ascii="Times New Roman" w:cs="Times New Roman" w:eastAsia="Times New Roman" w:hAnsi="Times New Roman"/>
          <w:sz w:val="21"/>
          <w:szCs w:val="21"/>
          <w:color w:val="auto"/>
        </w:rPr>
        <w:t xml:space="preserve"> shall not in any event exceed an amount that is equal to the portion of the Base Purchase Price. Except as otherwise provided in the preceding sentence, the aggregate amount of all Losses for which an Indemnifying Person shall be liable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 xml:space="preserve"> shall not exceed an amount that is equal to twelve and a half percent (12.5%) of the Base Purchase Price.</w:t>
      </w:r>
    </w:p>
    <w:p>
      <w:pPr>
        <w:spacing w:after="0" w:line="163" w:lineRule="exact"/>
        <w:rPr>
          <w:rFonts w:ascii="Times New Roman" w:cs="Times New Roman" w:eastAsia="Times New Roman" w:hAnsi="Times New Roman"/>
          <w:sz w:val="21"/>
          <w:szCs w:val="21"/>
          <w:color w:val="auto"/>
        </w:rPr>
      </w:pPr>
    </w:p>
    <w:p>
      <w:pPr>
        <w:jc w:val="both"/>
        <w:ind w:firstLine="1952"/>
        <w:spacing w:after="0" w:line="250" w:lineRule="auto"/>
        <w:tabs>
          <w:tab w:leader="none" w:pos="246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an Indemnifying Person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in respect of any Loss shall be limited to the amount of any liability or damage that remains after deducting therefrom any insurance proceeds and any indemnity, contribution or other similar payment received by the Indemnified Person (or the Company) in respect of any such claim. The Indemnified Person shall use its commercially reasonable efforts to recover under insurance policies (if any) or indemnity, contribution or other similar agreements for any Losses prior to seeking indemnification under this Agreement. If the Indemnified Person receives any additional compensation from third parties after recovery from the Indemnifying Person in respect of an indemnification claim made by the Indemnified Person hereunder, the Indemnified Party shall return the corresponding amount (deducting Taxes) to the Indemnifying Person.</w:t>
      </w:r>
    </w:p>
    <w:p>
      <w:pPr>
        <w:spacing w:after="0" w:line="186"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6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 Indemnified Person recognizes any net Indemnification Tax Benefits as a result of any Losses for the Taxable year in which the indemnity payment is made, such Indemnified Person shall pay the amount of such Indemnification Tax Benefits by (i) reducing the amount of Losses by the amount of Indemnification Tax Benefits actually recognized (if such benefits are actually recognized prior to the date on which the indemnity payment is made) or (ii) making a payment to Seller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68" w:lineRule="auto"/>
        <w:rPr>
          <w:sz w:val="20"/>
          <w:szCs w:val="20"/>
          <w:color w:val="auto"/>
        </w:rPr>
      </w:pPr>
      <w:r>
        <w:rPr>
          <w:rFonts w:ascii="Times New Roman" w:cs="Times New Roman" w:eastAsia="Times New Roman" w:hAnsi="Times New Roman"/>
          <w:sz w:val="21"/>
          <w:szCs w:val="21"/>
          <w:color w:val="auto"/>
        </w:rPr>
        <w:t>the Indemnification Tax Benefit within thirty (30) days after such benefit is actually recognized if such benefit is actually recognized after the indemnity payment is made. For this purpose, the Indemnified Person shall be deemed to recognize a Tax benefit (“</w:t>
      </w:r>
      <w:r>
        <w:rPr>
          <w:rFonts w:ascii="Times New Roman" w:cs="Times New Roman" w:eastAsia="Times New Roman" w:hAnsi="Times New Roman"/>
          <w:sz w:val="21"/>
          <w:szCs w:val="21"/>
          <w:u w:val="single" w:color="auto"/>
          <w:color w:val="auto"/>
        </w:rPr>
        <w:t>Indemnification Tax Benefit</w:t>
      </w:r>
      <w:r>
        <w:rPr>
          <w:rFonts w:ascii="Times New Roman" w:cs="Times New Roman" w:eastAsia="Times New Roman" w:hAnsi="Times New Roman"/>
          <w:sz w:val="21"/>
          <w:szCs w:val="21"/>
          <w:color w:val="auto"/>
        </w:rPr>
        <w:t>”) with respect to a Taxable year if, and to the extent that, the Indemnified Person’s liability for Taxes for such Taxable year, calculated by excluding any Tax items attributed to the Losses, exceeds the Indemnified Person’s actual liability for Taxes for such Taxable year, calculated by taking into account any Tax items attributed to the Losses.</w:t>
      </w:r>
    </w:p>
    <w:p>
      <w:pPr>
        <w:spacing w:after="0" w:line="164" w:lineRule="exact"/>
        <w:rPr>
          <w:sz w:val="20"/>
          <w:szCs w:val="20"/>
          <w:color w:val="auto"/>
        </w:rPr>
      </w:pPr>
    </w:p>
    <w:p>
      <w:pPr>
        <w:jc w:val="both"/>
        <w:ind w:firstLine="1952"/>
        <w:spacing w:after="0" w:line="256" w:lineRule="auto"/>
        <w:tabs>
          <w:tab w:leader="none" w:pos="251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Indemnifying Person be liable to any Indemnified Person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spacing w:after="0" w:line="17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9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Indemnified Person shall be entitled to recover from the Indemnifying Person under this Agreement more than once in respect of the same claim or the same Losses. Any liability of the Indemnifying Person under this Agreement shall be determined without duplication of recovery by reason of the state of facts giving rise to such liability constituting a breach of more than one representation, warranty, covenant or agreement.</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0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Person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6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1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not be liable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for any Losses based upon or arising out of any inaccuracy in or breach of any of the representations or warranties of Seller contained in this Agreement if Purchaser had Knowledge of such inaccuracy or breach prior to the date hereof.</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1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Indemnifying Person shall be liable for any Losses arising from: (A) any Taxes of the Company incurred on the Closing Date after the Closing that are outside the ordinary course of business of the Company or inconsistent with past practices; (B) any Taxes of Purchaser (including the Company) attributable to a Tax period other than a Pre-Closing Tax Period; or (C) the amount, value or condition of, or any limitations on, any Tax asset or attribute of the Company (e.g., net operating loss or net operating carryforward), to the extent such assets or attributes are relevant to the ability of Seller or any of its Affiliates (including the Company) to utilize such Tax assets or Tax attributes in any Tax period other than a Pre-Closing Tax Period.</w:t>
      </w:r>
    </w:p>
    <w:p>
      <w:pPr>
        <w:spacing w:after="0" w:line="180"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8.5</w:t>
      </w:r>
      <w:r>
        <w:rPr>
          <w:sz w:val="20"/>
          <w:szCs w:val="20"/>
          <w:color w:val="auto"/>
        </w:rPr>
        <w:tab/>
      </w:r>
      <w:r>
        <w:rPr>
          <w:rFonts w:ascii="Times New Roman" w:cs="Times New Roman" w:eastAsia="Times New Roman" w:hAnsi="Times New Roman"/>
          <w:sz w:val="21"/>
          <w:szCs w:val="21"/>
          <w:u w:val="single" w:color="auto"/>
          <w:color w:val="auto"/>
        </w:rPr>
        <w:t>Indemnification Procedures</w:t>
      </w:r>
    </w:p>
    <w:p>
      <w:pPr>
        <w:spacing w:after="0" w:line="220" w:lineRule="exact"/>
        <w:rPr>
          <w:sz w:val="20"/>
          <w:szCs w:val="20"/>
          <w:color w:val="auto"/>
        </w:rPr>
      </w:pPr>
    </w:p>
    <w:p>
      <w:pPr>
        <w:jc w:val="both"/>
        <w:ind w:firstLine="1952"/>
        <w:spacing w:after="0" w:line="257" w:lineRule="auto"/>
        <w:tabs>
          <w:tab w:leader="none" w:pos="244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by an Indemnified Person on account of any Losses which does not result from a Third-Party Claim (a “</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shall be asserted (and may only be asserted) by the Indemnified Person by giving the Indemnifying Person prompt written notice thereof. Such notice by the Indemnified Person shall describe the Direct Claim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158" w:name="page159"/>
    <w:bookmarkEnd w:id="158"/>
    <w:p>
      <w:pPr>
        <w:jc w:val="both"/>
        <w:spacing w:after="0" w:line="248" w:lineRule="auto"/>
        <w:rPr>
          <w:sz w:val="20"/>
          <w:szCs w:val="20"/>
          <w:color w:val="auto"/>
        </w:rPr>
      </w:pPr>
      <w:r>
        <w:rPr>
          <w:rFonts w:ascii="Times New Roman" w:cs="Times New Roman" w:eastAsia="Times New Roman" w:hAnsi="Times New Roman"/>
          <w:sz w:val="22"/>
          <w:szCs w:val="22"/>
          <w:color w:val="auto"/>
        </w:rPr>
        <w:t>reasonable detail, shall include copies of all written evidence thereof and shall indicate the estimated amount, if reasonably practicable, of the Losses that have been or may be sustained by the Indemnified Person. The Indemnifying Person shall have fifteen (15) Business Days after its receipt of such notice to respond in writing to such Direct Claim. During such fifteen (15) Business Day-period, the Indemnified Person shall allow the Indemnifying Person and its advisors to investigate the matter or circumstance alleged to give rise to the Direct Claim, and whether and to what extent any amount is payable in respect of the Direct Claim and the Indemnified Person shall reasonably assist the Indemnifying Person’s investigation by giving such information and assistance (including access to their premises and personnel and the right to examine and copy any accounts, documents or records) as the Indemnifying Person, or any of its advisors, may reasonably request. If the Indemnifying Person does not so respond within such fifteen (15) Business Day-period, the Indemnifying Person shall be deemed to have rejected such Direct Claim, in which case the Indemnified Person may pursue such other remedies as may be available for the benefit of the Indemnified Person on the terms and subject to the provisions of this Agreement.</w:t>
      </w:r>
    </w:p>
    <w:p>
      <w:pPr>
        <w:spacing w:after="0" w:line="189" w:lineRule="exact"/>
        <w:rPr>
          <w:sz w:val="20"/>
          <w:szCs w:val="20"/>
          <w:color w:val="auto"/>
        </w:rPr>
      </w:pPr>
    </w:p>
    <w:p>
      <w:pPr>
        <w:jc w:val="both"/>
        <w:ind w:firstLine="1952"/>
        <w:spacing w:after="0" w:line="247" w:lineRule="auto"/>
        <w:tabs>
          <w:tab w:leader="none" w:pos="24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Indemnified Person receives notice of the assertion or commencement of any action, suit, claim or other legal proceeding made or brought by any Person who is not a Party to this Agreement or an Affiliate of a Party to this Agreement or a Representative of the foregoing (a “</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against such Indemnified Person with respect to which the Indemnifying Person is obligated to provide indemnification under this Agreement, the Indemnified Person shall give the Indemnifying Person prompt written notice thereof. The failure to give such prompt written notice shall not, in and of itself, however, relieve the Indemnifying Person of its indemnification obligations, except and only to the extent that the Indemnifying Person forfeits rights or defenses by reason of such failure. Such notice by the Indemnified Person shall describe the Third-Party Claim in reasonable detail, shall include copies of all material written evidence thereof and shall indicate the estimated amount, if reasonably practicable, of the Losses that have been or may be sustained by the Indemnified Person. The Indemnifying Person shall have the right to participate in, or by giving written notice to the Indemnified Person, to assume the defense of any Third-Party Claim (to the extent permitted by applicable Law) at the Indemnifying Person’s expense and by the Indemnifying Person’s own counsel, and the Indemnified Person shall cooperate in good faith in such defense. In the event that the Indemnifying Person assumes the defense of any Third-Party Claim, it shall promptly notify the Indemnified Person, and the Indemnifying Person shall have the right to take such action as it deems necessary to avoid, dispute, defend, appeal or make counterclaims pertaining to any such Third-Party Claim in the name and on behalf of the Indemnified Person. If the Indemnifying Person elects not to compromise or defend such Third-Party Claim or fails to promptly notify the Indemnified Person in writing of its election to defend as provided in this Agreement, the Indemnified Person may pay, compromise, defend such Third-Party Claim and seek indemnification for any and all Losses based upon, arising from or relating to such Third-Party Claim and for which the Indemnifying Person would otherwise be liable for under this Agreement. So long as one Party controls the defense of a Third-Party Claim, the other Party shall have the right, at its own cost and expense, to participate in the defense of the Third-Party Claim with counsel selected by such other Party. The Indemnifying Person and the Indemnified Person shall cooperate with each other in all reasonable respects in connection with the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159" w:name="page160"/>
    <w:bookmarkEnd w:id="159"/>
    <w:p>
      <w:pPr>
        <w:jc w:val="both"/>
        <w:spacing w:after="0" w:line="257" w:lineRule="auto"/>
        <w:rPr>
          <w:sz w:val="20"/>
          <w:szCs w:val="20"/>
          <w:color w:val="auto"/>
        </w:rPr>
      </w:pPr>
      <w:r>
        <w:rPr>
          <w:rFonts w:ascii="Times New Roman" w:cs="Times New Roman" w:eastAsia="Times New Roman" w:hAnsi="Times New Roman"/>
          <w:sz w:val="22"/>
          <w:szCs w:val="22"/>
          <w:color w:val="auto"/>
        </w:rPr>
        <w:t>of any Third-Party Claim, including making available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w:t>
      </w:r>
    </w:p>
    <w:p>
      <w:pPr>
        <w:spacing w:after="0" w:line="186" w:lineRule="exact"/>
        <w:rPr>
          <w:sz w:val="20"/>
          <w:szCs w:val="20"/>
          <w:color w:val="auto"/>
        </w:rPr>
      </w:pPr>
    </w:p>
    <w:p>
      <w:pPr>
        <w:jc w:val="both"/>
        <w:ind w:firstLine="1952"/>
        <w:spacing w:after="0" w:line="257" w:lineRule="auto"/>
        <w:tabs>
          <w:tab w:leader="none" w:pos="242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Indemnifying Person shall not enter into settlement of any Third-Party Claim without the prior written consent of the Indemnified Person, which shall not be unreasonably withheld.</w:t>
      </w:r>
    </w:p>
    <w:p>
      <w:pPr>
        <w:spacing w:after="0" w:line="173"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8.6</w:t>
      </w:r>
      <w:r>
        <w:rPr>
          <w:sz w:val="20"/>
          <w:szCs w:val="20"/>
          <w:color w:val="auto"/>
        </w:rPr>
        <w:tab/>
      </w:r>
      <w:r>
        <w:rPr>
          <w:rFonts w:ascii="Times New Roman" w:cs="Times New Roman" w:eastAsia="Times New Roman" w:hAnsi="Times New Roman"/>
          <w:sz w:val="21"/>
          <w:szCs w:val="21"/>
          <w:u w:val="single" w:color="auto"/>
          <w:color w:val="auto"/>
        </w:rPr>
        <w:t>Payments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Once a Loss is agreed to by the Indemnifying Person or finally adjudicated to be payable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Indemnifying Person shall satisfy its obligations within fifteen (15) Business Days of such final, non-appealable adjudication by wire transfer of immediately available funds.</w:t>
      </w:r>
    </w:p>
    <w:p>
      <w:pPr>
        <w:spacing w:after="0" w:line="167"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8.7</w:t>
      </w:r>
      <w:r>
        <w:rPr>
          <w:sz w:val="20"/>
          <w:szCs w:val="20"/>
          <w:color w:val="auto"/>
        </w:rPr>
        <w:tab/>
      </w:r>
      <w:r>
        <w:rPr>
          <w:rFonts w:ascii="Times New Roman" w:cs="Times New Roman" w:eastAsia="Times New Roman" w:hAnsi="Times New Roman"/>
          <w:sz w:val="21"/>
          <w:szCs w:val="21"/>
          <w:u w:val="single" w:color="auto"/>
          <w:color w:val="auto"/>
        </w:rPr>
        <w:t>Tax Consequences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All payments (if any) made pursuant to any indemnification obligations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will be treated as an adjustment to the Purchase Price for Tax purposes and such agreed treatment will govern for purposes of this Agreement, unless otherwise required by applicable Law. Seller shall be responsible for any application or filing with the competent Taxing Authority for any Tax deduction or return due to such adjustment to the Purchase Price, and Purchaser shall provide reasonable assistance.</w:t>
      </w:r>
    </w:p>
    <w:p>
      <w:pPr>
        <w:spacing w:after="0" w:line="179"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8.8</w:t>
      </w:r>
      <w:r>
        <w:rPr>
          <w:sz w:val="20"/>
          <w:szCs w:val="20"/>
          <w:color w:val="auto"/>
        </w:rPr>
        <w:tab/>
      </w:r>
      <w:r>
        <w:rPr>
          <w:rFonts w:ascii="Times New Roman" w:cs="Times New Roman" w:eastAsia="Times New Roman" w:hAnsi="Times New Roman"/>
          <w:sz w:val="21"/>
          <w:szCs w:val="21"/>
          <w:u w:val="single" w:color="auto"/>
          <w:color w:val="auto"/>
        </w:rPr>
        <w:t>Pre-Closing Tax Indemnity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regardless of whether there is any breach of the representations, warranties, agreement or covenants of any Seller, and whether disclosed or not, Seller shall indemnify Purchaser (and its Representatives) against, and shall hold Purchaser (and its Representatives) harmless from and against, any and all Losses incurred or sustained by, or imposed upon, Purchaser (and its Representatives) for:</w:t>
      </w:r>
    </w:p>
    <w:p>
      <w:pPr>
        <w:spacing w:after="0" w:line="176" w:lineRule="exact"/>
        <w:rPr>
          <w:sz w:val="20"/>
          <w:szCs w:val="20"/>
          <w:color w:val="auto"/>
        </w:rPr>
      </w:pPr>
    </w:p>
    <w:p>
      <w:pPr>
        <w:ind w:left="2400" w:hanging="448"/>
        <w:spacing w:after="0"/>
        <w:tabs>
          <w:tab w:leader="none" w:pos="24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of the Company for any Pre-Closing Tax Period;</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41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PRC Withholding Taxes owed with respect to the transactions contemplated by this Agreement to the extent such PRC Withholding Taxes are not withheld from amounts otherwise payable pursuant to this Agreement.</w:t>
      </w:r>
    </w:p>
    <w:p>
      <w:pPr>
        <w:spacing w:after="0" w:line="17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the foregoing, Seller shall not be required to indemnify Purchaser (or its Representatives) for any Taxes taken into account in the calculation of the Actual Working Capital Amount.</w:t>
      </w:r>
    </w:p>
    <w:p>
      <w:pPr>
        <w:spacing w:after="0" w:line="158"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8.9</w:t>
      </w:r>
      <w:r>
        <w:rPr>
          <w:sz w:val="20"/>
          <w:szCs w:val="20"/>
          <w:color w:val="auto"/>
        </w:rPr>
        <w:tab/>
      </w:r>
      <w:r>
        <w:rPr>
          <w:rFonts w:ascii="Times New Roman" w:cs="Times New Roman" w:eastAsia="Times New Roman" w:hAnsi="Times New Roman"/>
          <w:sz w:val="21"/>
          <w:szCs w:val="21"/>
          <w:u w:val="single" w:color="auto"/>
          <w:color w:val="auto"/>
        </w:rPr>
        <w:t>Exclusive Remedy</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the Parties acknowledge and agree that from and after Closing their sole and exclusive remedy with respect to any and all claims (other than claims arising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160" w:name="page161"/>
    <w:bookmarkEnd w:id="160"/>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Fraud) for Losses for any breach of any representation, warranty, covenant, agreement or obligation set forth herein or otherwise relating to the subject matter of this Agreement, shall be pursuant to the indemnification provisions set forth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In furtherance of the foregoing, except with respect to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each Party hereby waives, from and after Closing, to the fullest extent permitted under Law, any and all rights, claims and causes of action for Losses for any breach of any representation, warranty, covenant, agreement or obligation set forth herein or otherwise relating to the subject matter of this Agreement it may have against the other Party and their Affiliates and each of their respective Representatives arising under or based upon any Law, except pursuant to the indemnification provisions set forth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Section 8.8</w:t>
      </w:r>
      <w:r>
        <w:rPr>
          <w:rFonts w:ascii="Times New Roman" w:cs="Times New Roman" w:eastAsia="Times New Roman" w:hAnsi="Times New Roman"/>
          <w:sz w:val="21"/>
          <w:szCs w:val="21"/>
          <w:color w:val="auto"/>
        </w:rPr>
        <w:t xml:space="preserve"> shall limit any Person’s right to seek and obtain any remedy in the nature of specific performance, injunctive relief or protective order to which any Person shall be entitled pursuant to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or to seek any remedy on account of Fraud by any Party hereto.</w:t>
      </w:r>
    </w:p>
    <w:p>
      <w:pPr>
        <w:spacing w:after="0" w:line="170"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8.10</w:t>
      </w:r>
      <w:r>
        <w:rPr>
          <w:sz w:val="20"/>
          <w:szCs w:val="20"/>
          <w:color w:val="auto"/>
        </w:rPr>
        <w:tab/>
      </w:r>
      <w:r>
        <w:rPr>
          <w:rFonts w:ascii="Times New Roman" w:cs="Times New Roman" w:eastAsia="Times New Roman" w:hAnsi="Times New Roman"/>
          <w:sz w:val="21"/>
          <w:szCs w:val="21"/>
          <w:u w:val="single" w:color="auto"/>
          <w:color w:val="auto"/>
        </w:rPr>
        <w:t>Determination of Losses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Solely for purposes of determining the amount of any Losses arising out of, relating to or resulting from any failure of any representation or warranty to be true and correct (but not for purposes of whether or not any representation or warranty is true and correct), such representations and warranties shall be considered without giving effect to “materiality,” “material,” “Company Material Adverse Effect,” “in all material respects” or similar qualification (but not including Knowledge of Seller).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9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Release</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Effective as of the Closing, Purchaser, for itself and the Company, and their respective Affiliates and their respective successors, assigns, executors, heirs, officers, directors, managers, partners and employees (each a “</w:t>
      </w:r>
      <w:r>
        <w:rPr>
          <w:rFonts w:ascii="Times New Roman" w:cs="Times New Roman" w:eastAsia="Times New Roman" w:hAnsi="Times New Roman"/>
          <w:sz w:val="22"/>
          <w:szCs w:val="22"/>
          <w:u w:val="single" w:color="auto"/>
          <w:color w:val="auto"/>
        </w:rPr>
        <w:t>Purchaser Releasor</w:t>
      </w:r>
      <w:r>
        <w:rPr>
          <w:rFonts w:ascii="Times New Roman" w:cs="Times New Roman" w:eastAsia="Times New Roman" w:hAnsi="Times New Roman"/>
          <w:sz w:val="22"/>
          <w:szCs w:val="22"/>
          <w:color w:val="auto"/>
        </w:rPr>
        <w:t>”), hereby irrevocably, knowingly and voluntarily releases, discharges and forever waives and relinquishes all claims, demands, obligations, liabilities, defenses, affirmative defenses, setoffs, counterclaims, Actions and causes of action of whatever kind or nature, whether known or unknown, which any of Purchaser Releasors has, might have or might assert now or in the future, against Seller and any of its Affiliates and their respective successors, assigns, officers, directors, managers, partners and employees or any of their respective heirs or executors (in each case in their capacity as such) (each, a “</w:t>
      </w:r>
      <w:r>
        <w:rPr>
          <w:rFonts w:ascii="Times New Roman" w:cs="Times New Roman" w:eastAsia="Times New Roman" w:hAnsi="Times New Roman"/>
          <w:sz w:val="22"/>
          <w:szCs w:val="22"/>
          <w:u w:val="single" w:color="auto"/>
          <w:color w:val="auto"/>
        </w:rPr>
        <w:t>Seller Releasee</w:t>
      </w:r>
      <w:r>
        <w:rPr>
          <w:rFonts w:ascii="Times New Roman" w:cs="Times New Roman" w:eastAsia="Times New Roman" w:hAnsi="Times New Roman"/>
          <w:sz w:val="22"/>
          <w:szCs w:val="22"/>
          <w:color w:val="auto"/>
        </w:rPr>
        <w:t xml:space="preserve">”), arising out of, based upon or resulting from any Contract, transaction, event, circumstance, action, failure to act or occurrence of any sort or type, whether known or unknown, and which occurred, existed or was taken or permitted at or prior to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contained in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release, waive, discharge, relinquish or otherwise affect the rights or obligations of any party to the extent arising out of: (a) this Agreement and the Ancillary Agreements; or (b) any Contracts or other claims, demands, obligations, liabilities, defenses, affirmative defenses, setoffs, counterclaims, Actions and causes of action as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of the Seller Disclosure Letter. Purchaser shall, and shall cause the Company to, refrain from, directly or indirectly, asserting any claim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161" w:name="page162"/>
    <w:bookmarkEnd w:id="161"/>
    <w:p>
      <w:pPr>
        <w:spacing w:after="0" w:line="271" w:lineRule="auto"/>
        <w:rPr>
          <w:sz w:val="20"/>
          <w:szCs w:val="20"/>
          <w:color w:val="auto"/>
        </w:rPr>
      </w:pPr>
      <w:r>
        <w:rPr>
          <w:rFonts w:ascii="Times New Roman" w:cs="Times New Roman" w:eastAsia="Times New Roman" w:hAnsi="Times New Roman"/>
          <w:sz w:val="22"/>
          <w:szCs w:val="22"/>
          <w:color w:val="auto"/>
        </w:rPr>
        <w:t xml:space="preserve">demand, or commencing, instituting or causing to be commenced any legal proceeding, of any kind against a Seller Releasee based upon any matter released pursuant to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9.2</w:t>
      </w:r>
      <w:r>
        <w:rPr>
          <w:sz w:val="20"/>
          <w:szCs w:val="20"/>
          <w:color w:val="auto"/>
        </w:rPr>
        <w:tab/>
      </w:r>
      <w:r>
        <w:rPr>
          <w:rFonts w:ascii="Times New Roman" w:cs="Times New Roman" w:eastAsia="Times New Roman" w:hAnsi="Times New Roman"/>
          <w:sz w:val="21"/>
          <w:szCs w:val="21"/>
          <w:u w:val="single" w:color="auto"/>
          <w:color w:val="auto"/>
        </w:rPr>
        <w:t>Disclosure</w:t>
      </w:r>
    </w:p>
    <w:p>
      <w:pPr>
        <w:spacing w:after="0" w:line="233" w:lineRule="exact"/>
        <w:rPr>
          <w:sz w:val="20"/>
          <w:szCs w:val="20"/>
          <w:color w:val="auto"/>
        </w:rPr>
      </w:pPr>
    </w:p>
    <w:p>
      <w:pPr>
        <w:jc w:val="both"/>
        <w:ind w:firstLine="1952"/>
        <w:spacing w:after="0" w:line="246" w:lineRule="auto"/>
        <w:tabs>
          <w:tab w:leader="none" w:pos="248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Disclosure Letter</w:t>
      </w:r>
      <w:r>
        <w:rPr>
          <w:rFonts w:ascii="Times New Roman" w:cs="Times New Roman" w:eastAsia="Times New Roman" w:hAnsi="Times New Roman"/>
          <w:sz w:val="22"/>
          <w:szCs w:val="22"/>
          <w:color w:val="auto"/>
        </w:rPr>
        <w:t>. The Seller Disclosure Letter and the Exhibits attached hereto and thereto shall be construed with, and as an integral part of, this Agreement. Each capitalized term used in any Exhibit or Seller Disclosure Letter but not otherwise defined therein shall be defined as set forth in this Agreement. The Seller Disclosure Letter has been arranged in numbered and lettered sections and subsections corresponding to the applicable numbered and lettered sections and subsections contained in this Agreement. Each item disclosed in the Seller Disclosure Letter shall constitute an exception to, or as applicable, disclosure for the purposes of, the representations and warranties (or covenants, as applicable) to which it makes reference and shall also be deemed to be constructively disclosed or set forth in any other section in the Seller Disclosure Letter relating to other sections of this Agreement to the extent a cross-reference is expressly made to such other section in the Seller Disclosure Letter or to the extent that the relevance of such item as an exception to, or as applicable, disclosure for the purposes of, another section of this Agreement is reasonably apparent from the face of such disclosure that such disclosure also qualifies or applies to, or is disclosed for the purposes of, such other section of this Agreement. The fact that any item of information is disclosed in the Seller Disclosure Letter shall not be construed to mean that such information is required to be disclosed by this Agreement. Such information and the dollar thresholds set forth herein shall not be used as a basis for interpreting the terms “material” or “Company Material Adverse Effect,” “Seller Material Adverse Effect,” “Purchaser Material Adverse Effect” or other similar terms in this Agreement. The inclusion of any item on the Seller Disclosure Letter shall not constitute an admission by the Company, Seller or Purchaser, as applicable, that such item is or is not material. No disclosure in the Seller Disclosure Letter relating to any possible breach or violation of any Contract, Law or Order shall be construed as an admission or indication that any such breach or violation exists or has actually occurred. The Seller Disclosure Letter and the information contained in the Seller Disclosure Letter are intended only to qualify or provide disclosure for the purposes of the applicable representations, warranties and covenants contained in this Agreement and shall not be deemed to expand in any way the scope or effect of any of such representations, warranties or covenants.</w:t>
      </w:r>
    </w:p>
    <w:p>
      <w:pPr>
        <w:spacing w:after="0" w:line="21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06"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Disclosure</w:t>
      </w:r>
      <w:r>
        <w:rPr>
          <w:rFonts w:ascii="Times New Roman" w:cs="Times New Roman" w:eastAsia="Times New Roman" w:hAnsi="Times New Roman"/>
          <w:sz w:val="21"/>
          <w:szCs w:val="21"/>
          <w:color w:val="auto"/>
        </w:rPr>
        <w:t>. By way of general disclosure, the following matters are disclosed or deemed disclosed to Purchaser and shall be deemed to qualify in their entirety the representations and warranties given by Seller hereunder: (i) all circumstances, facts and matters that are described or provided for in this Agreement and the Ancillary Agreements; (ii) all documents and information contained in the VDR and made available to Purchaser or its Representatives no later than two (2) Business Days immediately prior to the date hereof in connection with the purchase and sale of the Purchased Interest and the transactions contemplated hereby; and (iii) all circumstances, facts and matters that would be revealed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162" w:name="page163"/>
    <w:bookmarkEnd w:id="16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online search of the files of the Company at the websites maintained by the PRC Governmental Authorities at the date of this Agreement.</w:t>
      </w:r>
    </w:p>
    <w:p>
      <w:pPr>
        <w:spacing w:after="0" w:line="158"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u w:val="single" w:color="auto"/>
          <w:color w:val="auto"/>
        </w:rPr>
        <w:t>No Other Representations or Warranties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Except as expressly set forth herein, no Party makes any representation or warranty, express or implied, at law or in equity, with respect to itself, the Company or the assets, liabilities or operations of the foregoing, including with respect to merchantability or fitness for any particular purpose, and any such other representations or warranties are hereby expressly disclaimed and, in any event, any such other representations or warranties may not be relied upon by the other Party or any of its Affiliates and Representatives. No Person has been authorized by any Party to make any representation or warranty on its behalf and to the extent of any such purported representation and warranty it cannot be relied upon in any manner.</w:t>
      </w:r>
    </w:p>
    <w:p>
      <w:pPr>
        <w:spacing w:after="0" w:line="181"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9.4</w:t>
      </w:r>
      <w:r>
        <w:rPr>
          <w:sz w:val="20"/>
          <w:szCs w:val="20"/>
          <w:color w:val="auto"/>
        </w:rPr>
        <w:tab/>
      </w:r>
      <w:r>
        <w:rPr>
          <w:rFonts w:ascii="Times New Roman" w:cs="Times New Roman" w:eastAsia="Times New Roman" w:hAnsi="Times New Roman"/>
          <w:sz w:val="21"/>
          <w:szCs w:val="21"/>
          <w:u w:val="single" w:color="auto"/>
          <w:color w:val="auto"/>
        </w:rPr>
        <w:t>Amendments; No Waivers</w:t>
      </w:r>
    </w:p>
    <w:p>
      <w:pPr>
        <w:spacing w:after="0" w:line="220" w:lineRule="exact"/>
        <w:rPr>
          <w:sz w:val="20"/>
          <w:szCs w:val="20"/>
          <w:color w:val="auto"/>
        </w:rPr>
      </w:pPr>
    </w:p>
    <w:p>
      <w:pPr>
        <w:jc w:val="both"/>
        <w:ind w:firstLine="1952"/>
        <w:spacing w:after="0" w:line="257" w:lineRule="auto"/>
        <w:tabs>
          <w:tab w:leader="none" w:pos="239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may be amended or waived prior to the Closing Date, if, and only if, such amendment or waiver is in writing and signed, in the case of an amendment, by Seller and Purchaser, or in the case of a waiver, by the Party against whom the waiver is to be effective.</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1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at Law or in equity.</w:t>
      </w:r>
    </w:p>
    <w:p>
      <w:pPr>
        <w:spacing w:after="0" w:line="176"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u w:val="single" w:color="auto"/>
          <w:color w:val="auto"/>
        </w:rPr>
        <w:t>Notices</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All notices, consents, requests, demands or other communications required or permitted hereunder shall be: (a) in writing and (b) sent by email or by overnight courier or delivered by hand to the addresses set forth below (or at such other address as such Party may designate by fifteen (15) days’ advance written notice to the other Party to this Agreement given in accordance with this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 Where a notice is sent by overnight courier service, service of the notice shall be deemed to have been effected by properly addressing, pre-paying and sending the notice by an overnight service through an internationally-recognized courier upon the earlier of (i) delivery and (ii) (or when delivery is refused) expiration of two (2) Business Days after the notice is sent as aforesaid. Where a notice is sent by electronic mail, service of the notice shall be deemed to be effected by properly addressing, and sending such notice through a transmitting organization, with a written confirmation of delivery, upon the day the same is sent as aforesaid, if such day is a Business Day and if sent during normal business hours of the recipient, otherwise the next Business Day. Notwithstanding the foregoing, to the extent a “with a copy to”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2" w:right="339" w:bottom="1440" w:gutter="0" w:footer="0" w:header="0"/>
        </w:sectPr>
      </w:pPr>
    </w:p>
    <w:bookmarkStart w:id="163" w:name="page164"/>
    <w:bookmarkEnd w:id="163"/>
    <w:p>
      <w:pPr>
        <w:ind w:right="20"/>
        <w:spacing w:after="0" w:line="271" w:lineRule="auto"/>
        <w:rPr>
          <w:sz w:val="20"/>
          <w:szCs w:val="20"/>
          <w:color w:val="auto"/>
        </w:rPr>
      </w:pPr>
      <w:r>
        <w:rPr>
          <w:rFonts w:ascii="Times New Roman" w:cs="Times New Roman" w:eastAsia="Times New Roman" w:hAnsi="Times New Roman"/>
          <w:sz w:val="22"/>
          <w:szCs w:val="22"/>
          <w:color w:val="auto"/>
        </w:rPr>
        <w:t>is designated, notice must also be given to such address in the manner above for such notice, request, consent or other communication hereunder to be effective.</w:t>
      </w:r>
    </w:p>
    <w:p>
      <w:pPr>
        <w:spacing w:after="0" w:line="158" w:lineRule="exact"/>
        <w:rPr>
          <w:sz w:val="20"/>
          <w:szCs w:val="20"/>
          <w:color w:val="auto"/>
        </w:rPr>
      </w:pPr>
    </w:p>
    <w:p>
      <w:pPr>
        <w:ind w:left="2400" w:hanging="448"/>
        <w:spacing w:after="0"/>
        <w:tabs>
          <w:tab w:leader="none" w:pos="24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Purchaser, or, following the Closing, to the Company, to:</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63" w:lineRule="exact"/>
        <w:rPr>
          <w:sz w:val="20"/>
          <w:szCs w:val="20"/>
          <w:color w:val="auto"/>
        </w:rPr>
      </w:pPr>
    </w:p>
    <w:p>
      <w:pPr>
        <w:ind w:left="2420" w:hanging="468"/>
        <w:spacing w:after="0"/>
        <w:tabs>
          <w:tab w:leader="none" w:pos="24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Seller, or, prior to the Closing, to the Company, to:</w:t>
      </w:r>
    </w:p>
    <w:p>
      <w:pPr>
        <w:spacing w:after="0" w:line="21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63"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9.6</w:t>
      </w:r>
      <w:r>
        <w:rPr>
          <w:sz w:val="20"/>
          <w:szCs w:val="20"/>
          <w:color w:val="auto"/>
        </w:rPr>
        <w:tab/>
      </w:r>
      <w:r>
        <w:rPr>
          <w:rFonts w:ascii="Times New Roman" w:cs="Times New Roman" w:eastAsia="Times New Roman" w:hAnsi="Times New Roman"/>
          <w:sz w:val="21"/>
          <w:szCs w:val="21"/>
          <w:u w:val="single" w:color="auto"/>
          <w:color w:val="auto"/>
        </w:rPr>
        <w:t>Successors and Assigns</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This Agreement shall be binding upon and inure to the benefit of the Parties hereto and their respective successors and permitted assigns;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Party may assign, delegate or otherwise transfer any of its rights or obligations pursuant to this Agreement without the prior written consent of the other Party. Any attempted assignment of this Agreement not in accordance with the terms of this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9.7</w:t>
      </w:r>
      <w:r>
        <w:rPr>
          <w:sz w:val="20"/>
          <w:szCs w:val="20"/>
          <w:color w:val="auto"/>
        </w:rPr>
        <w:tab/>
      </w:r>
      <w:r>
        <w:rPr>
          <w:rFonts w:ascii="Times New Roman" w:cs="Times New Roman" w:eastAsia="Times New Roman" w:hAnsi="Times New Roman"/>
          <w:sz w:val="21"/>
          <w:szCs w:val="21"/>
          <w:u w:val="single" w:color="auto"/>
          <w:color w:val="auto"/>
        </w:rPr>
        <w:t>Governing Law</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This Agreement, and any and all claims arising directly or indirectly out of or otherwise concerning this Agreement (whether based in contract, tort or otherwise) shall be governed by, and construed and enforced in accordance with, the Laws of the PRC, except as set forth in </w:t>
      </w:r>
      <w:r>
        <w:rPr>
          <w:rFonts w:ascii="Times New Roman" w:cs="Times New Roman" w:eastAsia="Times New Roman" w:hAnsi="Times New Roman"/>
          <w:sz w:val="22"/>
          <w:szCs w:val="22"/>
          <w:u w:val="single" w:color="auto"/>
          <w:color w:val="auto"/>
        </w:rPr>
        <w:t>Section 9.8(b)</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9.8</w:t>
      </w:r>
      <w:r>
        <w:rPr>
          <w:sz w:val="20"/>
          <w:szCs w:val="20"/>
          <w:color w:val="auto"/>
        </w:rPr>
        <w:tab/>
      </w:r>
      <w:r>
        <w:rPr>
          <w:rFonts w:ascii="Times New Roman" w:cs="Times New Roman" w:eastAsia="Times New Roman" w:hAnsi="Times New Roman"/>
          <w:sz w:val="21"/>
          <w:szCs w:val="21"/>
          <w:u w:val="single" w:color="auto"/>
          <w:color w:val="auto"/>
        </w:rPr>
        <w:t>Dispute Resolution</w:t>
      </w:r>
    </w:p>
    <w:p>
      <w:pPr>
        <w:spacing w:after="0" w:line="220" w:lineRule="exact"/>
        <w:rPr>
          <w:sz w:val="20"/>
          <w:szCs w:val="20"/>
          <w:color w:val="auto"/>
        </w:rPr>
      </w:pPr>
    </w:p>
    <w:p>
      <w:pPr>
        <w:jc w:val="both"/>
        <w:ind w:firstLine="1952"/>
        <w:spacing w:after="0" w:line="253" w:lineRule="auto"/>
        <w:tabs>
          <w:tab w:leader="none" w:pos="248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controversy, difference or claim (each, a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w:t>
      </w:r>
      <w:r>
        <w:rPr>
          <w:rFonts w:ascii="Times New Roman" w:cs="Times New Roman" w:eastAsia="Times New Roman" w:hAnsi="Times New Roman"/>
          <w:sz w:val="22"/>
          <w:szCs w:val="22"/>
          <w:u w:val="single" w:color="auto"/>
          <w:color w:val="auto"/>
        </w:rPr>
        <w:t>HKIAC</w:t>
      </w:r>
      <w:r>
        <w:rPr>
          <w:rFonts w:ascii="Times New Roman" w:cs="Times New Roman" w:eastAsia="Times New Roman" w:hAnsi="Times New Roman"/>
          <w:sz w:val="22"/>
          <w:szCs w:val="22"/>
          <w:color w:val="auto"/>
        </w:rPr>
        <w:t>”) under the HKIAC Administered Arbitration Rules in force when the Notice of Arbitration is submitted in accordance with the HKIAC Administered Arbitration Rules.</w:t>
      </w:r>
    </w:p>
    <w:p>
      <w:pPr>
        <w:spacing w:after="0" w:line="178" w:lineRule="exact"/>
        <w:rPr>
          <w:rFonts w:ascii="Times New Roman" w:cs="Times New Roman" w:eastAsia="Times New Roman" w:hAnsi="Times New Roman"/>
          <w:sz w:val="22"/>
          <w:szCs w:val="22"/>
          <w:color w:val="auto"/>
        </w:rPr>
      </w:pPr>
    </w:p>
    <w:p>
      <w:pPr>
        <w:ind w:right="20" w:firstLine="1952"/>
        <w:spacing w:after="0" w:line="271" w:lineRule="auto"/>
        <w:tabs>
          <w:tab w:leader="none" w:pos="248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Law of this arbitration clause shall be Hong Kong Law. The seat of arbitration shall be Hong Kong. The number of arbitrators shall be three. The arbitration proceedings shall be conducted in English.</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47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the arbitration shall cooperate with each other party to the arbitration in making full disclosure of and providing complete access to all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164" w:name="page165"/>
    <w:bookmarkEnd w:id="164"/>
    <w:p>
      <w:pPr>
        <w:spacing w:after="0" w:line="271" w:lineRule="auto"/>
        <w:rPr>
          <w:sz w:val="20"/>
          <w:szCs w:val="20"/>
          <w:color w:val="auto"/>
        </w:rPr>
      </w:pPr>
      <w:r>
        <w:rPr>
          <w:rFonts w:ascii="Times New Roman" w:cs="Times New Roman" w:eastAsia="Times New Roman" w:hAnsi="Times New Roman"/>
          <w:sz w:val="22"/>
          <w:szCs w:val="22"/>
          <w:color w:val="auto"/>
        </w:rPr>
        <w:t>and documents requested by such other party in connection with such arbitral proceedings, subject only to any confidentiality obligations binding on such party.</w:t>
      </w:r>
    </w:p>
    <w:p>
      <w:pPr>
        <w:spacing w:after="0" w:line="158" w:lineRule="exact"/>
        <w:rPr>
          <w:sz w:val="20"/>
          <w:szCs w:val="20"/>
          <w:color w:val="auto"/>
        </w:rPr>
      </w:pPr>
    </w:p>
    <w:p>
      <w:pPr>
        <w:jc w:val="both"/>
        <w:ind w:firstLine="1952"/>
        <w:spacing w:after="0" w:line="226" w:lineRule="auto"/>
        <w:tabs>
          <w:tab w:leader="none" w:pos="245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together with WDT, if applicable) shall be entitled to (jointly) appoint one (1) arbitrator, Purchaser (and together with STATS ChipPAC) shall be entitled to (jointly) appoint one (1) arbitrator, while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arbitrator who shall be the presiding arbitrator, shall be jointly appointed the first two arbitrators and shall be qualified to practice Law in Hong Kong and the PRC. If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arbitrator has not been appointed within thirty (30) days after the Notice of Arbitration is given, the relevant appointment shall be made by the Secretary General of HKIAC.</w:t>
      </w:r>
    </w:p>
    <w:p>
      <w:pPr>
        <w:spacing w:after="0" w:line="190" w:lineRule="exact"/>
        <w:rPr>
          <w:rFonts w:ascii="Times New Roman" w:cs="Times New Roman" w:eastAsia="Times New Roman" w:hAnsi="Times New Roman"/>
          <w:sz w:val="22"/>
          <w:szCs w:val="22"/>
          <w:color w:val="auto"/>
        </w:rPr>
      </w:pPr>
    </w:p>
    <w:p>
      <w:pPr>
        <w:ind w:right="20" w:firstLine="1952"/>
        <w:spacing w:after="0" w:line="284" w:lineRule="auto"/>
        <w:tabs>
          <w:tab w:leader="none" w:pos="257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of the arbitral tribunal shall be final and binding upon the parties thereto, and the prevailing party may apply to a court of competent jurisdiction for enforcement of such award.</w:t>
      </w:r>
    </w:p>
    <w:p>
      <w:pPr>
        <w:spacing w:after="0" w:line="1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6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arbitral tribunal shall decide any Dispute submitted by the parties to the arbitration strictly in accordance with the substantive Laws of the PRC (without regard to principles of conflict of Laws thereunder) and shall not apply any other substantive Law.</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44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to the Dispute shall be entitled to seek preliminary injunctive relief, if possible, from any court of competent jurisdiction pending the constitution of the arbitral tribunal.</w:t>
      </w:r>
    </w:p>
    <w:p>
      <w:pPr>
        <w:spacing w:after="0" w:line="171" w:lineRule="exact"/>
        <w:rPr>
          <w:rFonts w:ascii="Times New Roman" w:cs="Times New Roman" w:eastAsia="Times New Roman" w:hAnsi="Times New Roman"/>
          <w:sz w:val="22"/>
          <w:szCs w:val="22"/>
          <w:color w:val="auto"/>
        </w:rPr>
      </w:pPr>
    </w:p>
    <w:p>
      <w:pPr>
        <w:ind w:right="20" w:firstLine="1952"/>
        <w:spacing w:after="0" w:line="271" w:lineRule="auto"/>
        <w:tabs>
          <w:tab w:leader="none" w:pos="2427"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course of the arbitral tribunal’s adjudication of the Dispute, this Agreement shall continue to be performed except with respect to the part in dispute and under adjudication.</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5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Action is commenced or threatened by any Party to enforce its rights under this Agreement against any other Person, the prevailing Party in such Action shall be reimbursed by the non-prevailing Party for all fees, costs and expenses, including reasonable attorneys’ fees, arbitration and court costs, incurred by the prevailing Party in such Action. If a Party prevails in part, and loses in part, in such Action, the court, arbitrator or other adjudicator presiding over such Action will award a reimbursement of the fees, costs and expenses incurred by the prevailing Party on an equitable basis.</w:t>
      </w:r>
    </w:p>
    <w:p>
      <w:pPr>
        <w:spacing w:after="0" w:line="179" w:lineRule="exact"/>
        <w:rPr>
          <w:sz w:val="20"/>
          <w:szCs w:val="20"/>
          <w:color w:val="auto"/>
        </w:rPr>
      </w:pPr>
    </w:p>
    <w:p>
      <w:pPr>
        <w:ind w:left="192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9.9</w:t>
      </w:r>
      <w:r>
        <w:rPr>
          <w:sz w:val="20"/>
          <w:szCs w:val="20"/>
          <w:color w:val="auto"/>
        </w:rPr>
        <w:tab/>
      </w:r>
      <w:r>
        <w:rPr>
          <w:rFonts w:ascii="Times New Roman" w:cs="Times New Roman" w:eastAsia="Times New Roman" w:hAnsi="Times New Roman"/>
          <w:sz w:val="21"/>
          <w:szCs w:val="21"/>
          <w:u w:val="single" w:color="auto"/>
          <w:color w:val="auto"/>
        </w:rPr>
        <w:t>Privilege; Counsel</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O’Melveny &amp; Myers LLP has been engaged by Seller to represent it in connection with the transactions contemplated hereby. Purchaser (on its behalf and on behalf of its Affiliates) hereby: (a) agrees that, in the event that a dispute arises after the Closing between Purchaser and/or any of its Affiliates, on the one hand, and Seller and/or any of its Affiliates, on the other hand, O’Melveny &amp; Myers LLP may represent Seller or such Affiliate(s) in such dispute even though the interests of Seller or such Affiliate(s) may be directly adverse to Purchaser, the Company or any of their Affiliates and even though O’Melveny &amp; Myers LLP may have represented the Company in a matter substantially related to such dispute, or may be handling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sectPr>
      </w:pPr>
    </w:p>
    <w:bookmarkStart w:id="165" w:name="page166"/>
    <w:bookmarkEnd w:id="165"/>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ongoing matters for Purchaser or the Company; and (b) waives any conflict in connection therewith. Purchaser (on its behalf and on behalf of its Affiliates) further agrees that, notwithstanding anything in this Agreement to the contrary, as to all communications among O’Melveny &amp; Myers LLP, Seller and/or the Company (including any of their respective directors, officers, managers, employees or agents) that relate in any way to this Agreement, the Ancillary Agreements or the transactions contemplated hereby or thereby or the negotiation of the same, the attorney-client privilege and the expectation of client confidence belongs to Seller and shall be controlled by Seller and shall not pass to or be claimed by Purchaser, the Company or any of their Affiliates after the Closing. Purchaser (on its behalf and on behalf of its Affiliates) further understands and agrees that the Parties have each undertaken reasonable efforts to prevent the disclosure of confidential or attorney-client privileged information. Notwithstanding those efforts, Purchaser (on its behalf and on behalf of its Affiliates) further understands and agrees that the consummation of the transactions contemplated by this Agreement may result in the inadvertent disclosure of information that may be confidential and/or subject to a claim of privilege. Purchaser (on its behalf and on behalf of its Affiliates) further understands and agrees that any disclosure of information that may be confidential and/or subject to a claim of privilege shall not prejudice or otherwise constitute a waiver of any claim of privilege. Purchaser (on its behalf and on behalf of its Affiliates) agrees to use reasonable best efforts to return promptly any inadvertently disclosed information to the appropriate Person upon becoming aware of its existence. Notwithstanding the foregoing, in the event that a dispute arises after the Closing between Purchaser, the Company or any of their Affiliates and a third Person other than a Party to this Agreement, the Company may assert the attorney-client privilege to prevent disclosure of confidential communications by O’Melveny &amp; Myers LLP to such third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may not waive such privilege without the prior written consent of Seller. O’Melveny &amp; Myers LLP shall be a third-party beneficiary for the purposes of this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9.10</w:t>
      </w:r>
      <w:r>
        <w:rPr>
          <w:sz w:val="20"/>
          <w:szCs w:val="20"/>
          <w:color w:val="auto"/>
        </w:rPr>
        <w:tab/>
      </w:r>
      <w:r>
        <w:rPr>
          <w:rFonts w:ascii="Times New Roman" w:cs="Times New Roman" w:eastAsia="Times New Roman" w:hAnsi="Times New Roman"/>
          <w:sz w:val="21"/>
          <w:szCs w:val="21"/>
          <w:u w:val="single" w:color="auto"/>
          <w:color w:val="auto"/>
        </w:rPr>
        <w:t>Counterparts; Effectiveness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five (5) or more counterparts, each of which together shall be deemed an original, and all of which together shall constitute one and the same instrument.</w:t>
      </w:r>
    </w:p>
    <w:p>
      <w:pPr>
        <w:spacing w:after="0" w:line="158"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9.11</w:t>
      </w:r>
      <w:r>
        <w:rPr>
          <w:sz w:val="20"/>
          <w:szCs w:val="20"/>
          <w:color w:val="auto"/>
        </w:rPr>
        <w:tab/>
      </w:r>
      <w:r>
        <w:rPr>
          <w:rFonts w:ascii="Times New Roman" w:cs="Times New Roman" w:eastAsia="Times New Roman" w:hAnsi="Times New Roman"/>
          <w:sz w:val="21"/>
          <w:szCs w:val="21"/>
          <w:u w:val="single" w:color="auto"/>
          <w:color w:val="auto"/>
        </w:rPr>
        <w:t>Entire Agreement</w:t>
      </w:r>
    </w:p>
    <w:p>
      <w:pPr>
        <w:spacing w:after="0" w:line="220" w:lineRule="exact"/>
        <w:rPr>
          <w:sz w:val="20"/>
          <w:szCs w:val="20"/>
          <w:color w:val="auto"/>
        </w:rPr>
      </w:pPr>
    </w:p>
    <w:p>
      <w:pPr>
        <w:jc w:val="both"/>
        <w:ind w:firstLine="1952"/>
        <w:spacing w:after="0" w:line="253" w:lineRule="auto"/>
        <w:tabs>
          <w:tab w:leader="none" w:pos="261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without limitation, the Seller Disclosure Letter and the Exhibits, schedules, and annexes hereto and thereto) and the Ancillary Agreements constitute the entire agreement among the Parties with respect to the subject matter of this Agreement and supersede and cancel all prior agreements, negotiations, correspondence, undertakings, understandings and communications of the Parties, whether oral or written, with respect to the subject matter hereof and thereof.</w:t>
      </w:r>
    </w:p>
    <w:p>
      <w:pPr>
        <w:spacing w:after="0" w:line="178"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6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execution of this Agreement and prior to the AMR Submission Date, Seller and Purchaser agree to execute the Equity Interest Transfer Agreement summarizing the material terms of this Agreement in the form agreed by the Parties (the “</w:t>
      </w:r>
      <w:r>
        <w:rPr>
          <w:rFonts w:ascii="Times New Roman" w:cs="Times New Roman" w:eastAsia="Times New Roman" w:hAnsi="Times New Roman"/>
          <w:sz w:val="22"/>
          <w:szCs w:val="22"/>
          <w:u w:val="single" w:color="auto"/>
          <w:color w:val="auto"/>
        </w:rPr>
        <w:t>Registration ETA</w:t>
      </w:r>
      <w:r>
        <w:rPr>
          <w:rFonts w:ascii="Times New Roman" w:cs="Times New Roman" w:eastAsia="Times New Roman" w:hAnsi="Times New Roman"/>
          <w:sz w:val="22"/>
          <w:szCs w:val="22"/>
          <w:color w:val="auto"/>
        </w:rPr>
        <w:t>”), which will be submitted to the appropriate PRC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2" w:right="339" w:bottom="1440" w:gutter="0" w:footer="0" w:header="0"/>
        </w:sectPr>
      </w:pPr>
    </w:p>
    <w:bookmarkStart w:id="166" w:name="page167"/>
    <w:bookmarkEnd w:id="166"/>
    <w:p>
      <w:pPr>
        <w:jc w:val="both"/>
        <w:spacing w:after="0" w:line="257" w:lineRule="auto"/>
        <w:rPr>
          <w:sz w:val="20"/>
          <w:szCs w:val="20"/>
          <w:color w:val="auto"/>
        </w:rPr>
      </w:pPr>
      <w:r>
        <w:rPr>
          <w:rFonts w:ascii="Times New Roman" w:cs="Times New Roman" w:eastAsia="Times New Roman" w:hAnsi="Times New Roman"/>
          <w:sz w:val="22"/>
          <w:szCs w:val="22"/>
          <w:color w:val="auto"/>
        </w:rPr>
        <w:t>for the purpose of obtaining the AMR Approval and SAFE Registration Voucher and completing the required Tax reporting and filing. For the avoidance of doubt, should any provision of the Registration ETA conflict with the provisions under this Agreement, this Agreement shall prevail.</w:t>
      </w:r>
    </w:p>
    <w:p>
      <w:pPr>
        <w:spacing w:after="0" w:line="186"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9.12</w:t>
      </w:r>
      <w:r>
        <w:rPr>
          <w:sz w:val="20"/>
          <w:szCs w:val="20"/>
          <w:color w:val="auto"/>
        </w:rPr>
        <w:tab/>
      </w:r>
      <w:r>
        <w:rPr>
          <w:rFonts w:ascii="Times New Roman" w:cs="Times New Roman" w:eastAsia="Times New Roman" w:hAnsi="Times New Roman"/>
          <w:sz w:val="21"/>
          <w:szCs w:val="21"/>
          <w:u w:val="single" w:color="auto"/>
          <w:color w:val="auto"/>
        </w:rPr>
        <w:t>Third-Party Beneficiaries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Except as expressly provided herein, this Agreement is for the sole benefit of the Parties and their successors and permitted assigns and nothing herein expressed or implied shall give or be construed to give any Person, other than the Parties and such successors and permitted assigns, any legal or equitable rights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Parties hereto specifically acknowledge and agree that: (a) the provisions of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are intended to be for the benefit of, and shall be enforceable by, each Seller Releasee; and (b) the provisions of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are intended to be for the benefit of, and shall be enforceable by, O’Melveny &amp; Myers LLP.</w:t>
      </w:r>
    </w:p>
    <w:p>
      <w:pPr>
        <w:spacing w:after="0" w:line="181"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u w:val="single" w:color="auto"/>
          <w:color w:val="auto"/>
        </w:rPr>
        <w:t>Severability</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195"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9.14</w:t>
      </w:r>
      <w:r>
        <w:rPr>
          <w:sz w:val="20"/>
          <w:szCs w:val="20"/>
          <w:color w:val="auto"/>
        </w:rPr>
        <w:tab/>
      </w:r>
      <w:r>
        <w:rPr>
          <w:rFonts w:ascii="Times New Roman" w:cs="Times New Roman" w:eastAsia="Times New Roman" w:hAnsi="Times New Roman"/>
          <w:sz w:val="21"/>
          <w:szCs w:val="21"/>
          <w:u w:val="single" w:color="auto"/>
          <w:color w:val="auto"/>
        </w:rPr>
        <w:t>Specific Performance</w:t>
      </w:r>
    </w:p>
    <w:p>
      <w:pPr>
        <w:spacing w:after="0" w:line="220" w:lineRule="exact"/>
        <w:rPr>
          <w:sz w:val="20"/>
          <w:szCs w:val="20"/>
          <w:color w:val="auto"/>
        </w:rPr>
      </w:pPr>
    </w:p>
    <w:p>
      <w:pPr>
        <w:jc w:val="both"/>
        <w:ind w:firstLine="1952"/>
        <w:spacing w:after="0" w:line="248" w:lineRule="auto"/>
        <w:tabs>
          <w:tab w:leader="none" w:pos="241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irreparable damage, for which monetary damages (even if available) would not be an adequate remedy, shall occur in the event that the Parties do not perform the provisions of this Agreement (including failing to take such actions as are required of them hereunder to consummate the transactions contemplated hereby) in accordance with its specified terms or otherwise breach such provisions. Accordingly, subject to </w:t>
      </w:r>
      <w:r>
        <w:rPr>
          <w:rFonts w:ascii="Times New Roman" w:cs="Times New Roman" w:eastAsia="Times New Roman" w:hAnsi="Times New Roman"/>
          <w:sz w:val="22"/>
          <w:szCs w:val="22"/>
          <w:u w:val="single" w:color="auto"/>
          <w:color w:val="auto"/>
        </w:rPr>
        <w:t>Section 9.14(b)</w:t>
      </w:r>
      <w:r>
        <w:rPr>
          <w:rFonts w:ascii="Times New Roman" w:cs="Times New Roman" w:eastAsia="Times New Roman" w:hAnsi="Times New Roman"/>
          <w:sz w:val="22"/>
          <w:szCs w:val="22"/>
          <w:color w:val="auto"/>
        </w:rPr>
        <w:t>, the Parties acknowledge and agree that the Parties shall be entitled to an injunction, specific performance or other similar relief to prevent breaches or threatened breaches of this Agreement, or to enforce compliance with, the Parties’ covenants and obligations under this Agreement, and to enforce specifically the terms and provisions hereof, in addition to any other remedy to which they are entitled at Law or in equity. Each of the Parties agrees that it shall not raise any objections to the availability of the remedy of specific performance to prevent or restrain breaches or threatened breaches of this Agreement, and to specifically enforce the terms and provisions of this Agreement, and shall not oppose the granting of an injunction, specific performance and/or other similar relief on any basis, including the basis that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167" w:name="page168"/>
    <w:bookmarkEnd w:id="167"/>
    <w:p>
      <w:pPr>
        <w:jc w:val="both"/>
        <w:spacing w:after="0" w:line="263" w:lineRule="auto"/>
        <w:rPr>
          <w:sz w:val="20"/>
          <w:szCs w:val="20"/>
          <w:color w:val="auto"/>
        </w:rPr>
      </w:pPr>
      <w:r>
        <w:rPr>
          <w:rFonts w:ascii="Times New Roman" w:cs="Times New Roman" w:eastAsia="Times New Roman" w:hAnsi="Times New Roman"/>
          <w:sz w:val="21"/>
          <w:szCs w:val="21"/>
          <w:color w:val="auto"/>
        </w:rPr>
        <w:t>Party has an adequate remedy at Law or that any award of an injunction, specific performance and/or other similar relief is not an appropriate remedy for any reason at Law or in equity. Any Party seeking: (i) an injunction or injunctions to prevent or restrain breaches or threatened breaches of this Agreement; (ii) to enforce specifically the terms and provisions of this Agreement; and/or</w:t>
      </w:r>
    </w:p>
    <w:p>
      <w:pPr>
        <w:spacing w:after="0" w:line="2" w:lineRule="exact"/>
        <w:rPr>
          <w:sz w:val="20"/>
          <w:szCs w:val="20"/>
          <w:color w:val="auto"/>
        </w:rPr>
      </w:pPr>
    </w:p>
    <w:p>
      <w:pPr>
        <w:ind w:firstLine="8"/>
        <w:spacing w:after="0" w:line="259" w:lineRule="auto"/>
        <w:tabs>
          <w:tab w:leader="none" w:pos="41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relief, shall not be required to show proof of actual damages or to provide any bond or other security in connection with any such remedy.</w:t>
      </w:r>
    </w:p>
    <w:p>
      <w:pPr>
        <w:spacing w:after="0" w:line="170" w:lineRule="exact"/>
        <w:rPr>
          <w:rFonts w:ascii="Times New Roman" w:cs="Times New Roman" w:eastAsia="Times New Roman" w:hAnsi="Times New Roman"/>
          <w:sz w:val="22"/>
          <w:szCs w:val="22"/>
          <w:color w:val="auto"/>
        </w:rPr>
      </w:pPr>
    </w:p>
    <w:p>
      <w:pPr>
        <w:jc w:val="both"/>
        <w:ind w:firstLine="1952"/>
        <w:spacing w:after="0" w:line="265" w:lineRule="auto"/>
        <w:tabs>
          <w:tab w:leader="none" w:pos="2721"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Agreement to the contrary, however, the Parties hereby acknowledge and agree that Seller shall be entitled to specific performance to cause Purchaser to effect the Closing in accordance with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only if all conditions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have been satisfied (other than any condition the failure of which to be satisfied is attributable, in whole or in substantial part, to a breach by Purchaser of its representations, warranties, covenants or agreements contained in this Agreement and other than conditions that, by their nature, are to be satisfied at the Closing and which were, at the time Seller is seeking specific performance, capable of being satisfied).</w:t>
      </w:r>
    </w:p>
    <w:p>
      <w:pPr>
        <w:spacing w:after="0" w:line="168" w:lineRule="exact"/>
        <w:rPr>
          <w:rFonts w:ascii="Times New Roman" w:cs="Times New Roman" w:eastAsia="Times New Roman" w:hAnsi="Times New Roman"/>
          <w:sz w:val="21"/>
          <w:szCs w:val="21"/>
          <w:color w:val="auto"/>
        </w:rPr>
      </w:pPr>
    </w:p>
    <w:p>
      <w:pPr>
        <w:jc w:val="both"/>
        <w:ind w:firstLine="1952"/>
        <w:spacing w:after="0" w:line="272" w:lineRule="auto"/>
        <w:tabs>
          <w:tab w:leader="none" w:pos="2442"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remedies available to either Party pursuant to this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shall be in addition to any other remedy to collect the Termination Fee pursuant to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or any other remedy to which it is entitled at Law or in equity, and the election to pursue an injunction or specific performance shall not restrict, impair or otherwise limit Seller from seeking to collect or collecting the Termination Fee pursuant to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or any other remedy to which it is entitled at Law or in equity.</w:t>
      </w:r>
    </w:p>
    <w:p>
      <w:pPr>
        <w:spacing w:after="0" w:line="161"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u w:val="single" w:color="auto"/>
          <w:color w:val="auto"/>
        </w:rPr>
        <w:t>No Setoff</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Each of the Parties hereto acknowledges and agrees (on its own behalf and on behalf of its Affiliates) that, except as provided under </w:t>
      </w:r>
      <w:r>
        <w:rPr>
          <w:rFonts w:ascii="Times New Roman" w:cs="Times New Roman" w:eastAsia="Times New Roman" w:hAnsi="Times New Roman"/>
          <w:sz w:val="21"/>
          <w:szCs w:val="21"/>
          <w:u w:val="single" w:color="auto"/>
          <w:color w:val="auto"/>
        </w:rPr>
        <w:t>Section 2.4(d)</w:t>
      </w:r>
      <w:r>
        <w:rPr>
          <w:rFonts w:ascii="Times New Roman" w:cs="Times New Roman" w:eastAsia="Times New Roman" w:hAnsi="Times New Roman"/>
          <w:sz w:val="21"/>
          <w:szCs w:val="21"/>
          <w:color w:val="auto"/>
        </w:rPr>
        <w:t>, it and its Affiliates shall have no right hereunder, under any Ancillary Agreement or pursuant to applicable Law to, and shall not, offset any amounts due and owing (or that becomes due and owing) pursuant to this Agreement or any Ancillary Agreement to any other party hereto or thereto or such other party’s Affiliates against any amounts due and owing to such party or such party’s Affiliates pursuant to this Agreement, the Ancillary Agreements or any other Contract.</w:t>
      </w:r>
    </w:p>
    <w:p>
      <w:pPr>
        <w:spacing w:after="0" w:line="164"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9.16</w:t>
      </w:r>
      <w:r>
        <w:rPr>
          <w:sz w:val="20"/>
          <w:szCs w:val="20"/>
          <w:color w:val="auto"/>
        </w:rPr>
        <w:tab/>
      </w:r>
      <w:r>
        <w:rPr>
          <w:rFonts w:ascii="Times New Roman" w:cs="Times New Roman" w:eastAsia="Times New Roman" w:hAnsi="Times New Roman"/>
          <w:sz w:val="21"/>
          <w:szCs w:val="21"/>
          <w:u w:val="single" w:color="auto"/>
          <w:color w:val="auto"/>
        </w:rPr>
        <w:t>Construction</w:t>
      </w:r>
    </w:p>
    <w:p>
      <w:pPr>
        <w:spacing w:after="0" w:line="220" w:lineRule="exact"/>
        <w:rPr>
          <w:sz w:val="20"/>
          <w:szCs w:val="20"/>
          <w:color w:val="auto"/>
        </w:rPr>
      </w:pPr>
    </w:p>
    <w:p>
      <w:pPr>
        <w:jc w:val="both"/>
        <w:ind w:firstLine="1952"/>
        <w:spacing w:after="0" w:line="250" w:lineRule="auto"/>
        <w:tabs>
          <w:tab w:leader="none" w:pos="243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contained in this Agreement are solely for the purpose of reference, are not part of the agreement of the Parties and shall not in any way affect the meaning or interpretation of this Agreement. As used in this Agreement: (i) words in the singular shall be held to include the plural and vice versa and words of one gender shall be held to include the other genders as the context requires; (ii) the words “hereof,” “herein,” and “herewith” and words of similar import shall, unless the context otherwise states or requires, refer to this Agreement as a whole (including the Seller Disclosure Letter and the Exhibits, schedules and annexes hereto and thereto) and not to any particular provision of this Agreement, and all references to the preamble, recitals, Sections, Articles, Exhibits or Seller Disclosure Letter are to the preamble, recitals, Sections, Articles, Exhibits or Seller Disclosure Letter of, or to, this Agreement; (iii) the word “or” shall not be exclusive; (iv) the words “date hereof”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2" w:right="339" w:bottom="1440" w:gutter="0" w:footer="0" w:header="0"/>
        </w:sectPr>
      </w:pPr>
    </w:p>
    <w:bookmarkStart w:id="168" w:name="page169"/>
    <w:bookmarkEnd w:id="168"/>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mean the date of this Agreement, as set forth in the preamble hereto; (v) Purchaser and Seller shall be referred to herein individually as a “Party” and collectively as “Parties” (except where the context otherwise requires); (vi) any reference to any federal, state, local or non-U.S. statute or other Law shall be deemed also to refer to all rules and regulations promulgated thereunder; (vii) when calculating the number of days before which, within which or following which, any act is to be done or step is to be taken pursuant to this Agreement, the date from which such period is to be calculated shall be excluded from such 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last calendar day of such period is a non-Business Day, the period in question shall end on the next succeeding Business Day; (viii) the measure of a period of one (1) month or year for the purposes of this Agreement shall be the date of the following month or year corresponding to the starting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no corresponding date exists, then the end date of such period being measured shall be the next actual date of the following month or year (for example, one (1) month following February 18 is March 18 and one (1) month following March 31 is May 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last calendar day of such period is a non-Business Day, then the period in question shall end on the next succeeding Business Day; and (ix) for the purposes of this Agreement, references to the term “delivered by Seller,” “delivered to Purchaser,” “furnished to Purchaser,” “made available to Purchaser” or similar expressions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shall mean that Seller has:</w:t>
      </w:r>
    </w:p>
    <w:p>
      <w:pPr>
        <w:spacing w:after="0" w:line="11" w:lineRule="exact"/>
        <w:rPr>
          <w:sz w:val="20"/>
          <w:szCs w:val="20"/>
          <w:color w:val="auto"/>
        </w:rPr>
      </w:pPr>
    </w:p>
    <w:p>
      <w:pPr>
        <w:jc w:val="both"/>
        <w:ind w:firstLine="8"/>
        <w:spacing w:after="0" w:line="252" w:lineRule="auto"/>
        <w:tabs>
          <w:tab w:leader="none" w:pos="36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posted such materials to the VDR, in a manner that enables viewing of such materials by Purchaser and its Representatives no later than two (2) Business Days immediately prior to the date of this Agreement or (B) set forth a copy of such materials in the Seller Disclosure Letter.</w:t>
      </w:r>
    </w:p>
    <w:p>
      <w:pPr>
        <w:spacing w:after="0" w:line="178"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1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76"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9.17</w:t>
      </w:r>
      <w:r>
        <w:rPr>
          <w:sz w:val="20"/>
          <w:szCs w:val="20"/>
          <w:color w:val="auto"/>
        </w:rPr>
        <w:tab/>
      </w:r>
      <w:r>
        <w:rPr>
          <w:rFonts w:ascii="Times New Roman" w:cs="Times New Roman" w:eastAsia="Times New Roman" w:hAnsi="Times New Roman"/>
          <w:sz w:val="21"/>
          <w:szCs w:val="21"/>
          <w:u w:val="single" w:color="auto"/>
          <w:color w:val="auto"/>
        </w:rPr>
        <w:t>No Recourse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Purchaser acknowledges and agrees that no recourse under this Agreement or any documents or instruments delivered in connection with this Agreement (including, without limitation, the Ancillary Agreements) shall be had against any past, present or future director, officer, agent, employee, member, partner, shareholder, Affiliate or Representative of Seller or of any of its Affiliate or assignee thereof, as such,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past, present or future director, officer, agent, employee, member, partner, shareholder, Affiliate or Representative of Seller or of any of its Affiliate or assignee thereof, as such, for any obligation of Seller under this Agreement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169" w:name="page170"/>
    <w:bookmarkEnd w:id="169"/>
    <w:p>
      <w:pPr>
        <w:jc w:val="both"/>
        <w:spacing w:after="0" w:line="271" w:lineRule="auto"/>
        <w:rPr>
          <w:sz w:val="20"/>
          <w:szCs w:val="20"/>
          <w:color w:val="auto"/>
        </w:rPr>
      </w:pPr>
      <w:r>
        <w:rPr>
          <w:rFonts w:ascii="Times New Roman" w:cs="Times New Roman" w:eastAsia="Times New Roman" w:hAnsi="Times New Roman"/>
          <w:sz w:val="22"/>
          <w:szCs w:val="22"/>
          <w:color w:val="auto"/>
        </w:rPr>
        <w:t>documents or instruments delivered in connection with this Agreement for any claim based on, in respect of or by reason of such obligations or their creation.</w:t>
      </w:r>
    </w:p>
    <w:p>
      <w:pPr>
        <w:spacing w:after="0" w:line="158" w:lineRule="exact"/>
        <w:rPr>
          <w:sz w:val="20"/>
          <w:szCs w:val="20"/>
          <w:color w:val="auto"/>
        </w:rPr>
      </w:pPr>
    </w:p>
    <w:p>
      <w:pPr>
        <w:ind w:left="1920"/>
        <w:spacing w:after="0"/>
        <w:tabs>
          <w:tab w:leader="none" w:pos="3200" w:val="left"/>
        </w:tabs>
        <w:rPr>
          <w:sz w:val="20"/>
          <w:szCs w:val="20"/>
          <w:color w:val="auto"/>
        </w:rPr>
      </w:pPr>
      <w:r>
        <w:rPr>
          <w:rFonts w:ascii="Times New Roman" w:cs="Times New Roman" w:eastAsia="Times New Roman" w:hAnsi="Times New Roman"/>
          <w:sz w:val="22"/>
          <w:szCs w:val="22"/>
          <w:color w:val="auto"/>
        </w:rPr>
        <w:t>Section 9.18</w:t>
      </w:r>
      <w:r>
        <w:rPr>
          <w:sz w:val="20"/>
          <w:szCs w:val="20"/>
          <w:color w:val="auto"/>
        </w:rPr>
        <w:tab/>
      </w:r>
      <w:r>
        <w:rPr>
          <w:rFonts w:ascii="Times New Roman" w:cs="Times New Roman" w:eastAsia="Times New Roman" w:hAnsi="Times New Roman"/>
          <w:sz w:val="21"/>
          <w:szCs w:val="21"/>
          <w:u w:val="single" w:color="auto"/>
          <w:color w:val="auto"/>
        </w:rPr>
        <w:t>Currency</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Whenever conversion of values to or from any foreign currency for a particular date or period shall be required pursuant to this Agreement, such conversion shall be made using the closing mid-point rate for exchanges between those currencies quoted on the website of the People’s Bank of China (e.g., for conversion between RMB and USD) for (a) the nearest Business Day for which that rate is so quoted on or prior to the Business Day of the conversion for all amounts (the “</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22"/>
          <w:szCs w:val="22"/>
          <w:color w:val="auto"/>
        </w:rPr>
        <w:t xml:space="preserve">When calculating whether or not a Loss exceeds the thresholds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Losses shall be converted into U.S. Dollar by applying the Exchange Rate as of the date that the applicable indemnification claim is being made by a Party pursuant to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2" w:right="339" w:bottom="1440" w:gutter="0" w:footer="0" w:header="0"/>
        </w:sectPr>
      </w:pPr>
    </w:p>
    <w:bookmarkStart w:id="170" w:name="page171"/>
    <w:bookmarkEnd w:id="170"/>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Party hereto has caused this Agreement to be duly executed by its authorized signatory as of the date first written above.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SanDisk China Limited</w:t>
      </w:r>
    </w:p>
    <w:p>
      <w:pPr>
        <w:spacing w:after="0" w:line="200" w:lineRule="exact"/>
        <w:rPr>
          <w:sz w:val="20"/>
          <w:szCs w:val="20"/>
          <w:color w:val="auto"/>
        </w:rPr>
      </w:pPr>
    </w:p>
    <w:p>
      <w:pPr>
        <w:spacing w:after="0" w:line="25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By:/s/ Brandi Steege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11087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Brandi Steege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Director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Equity Purchase Agreement]</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Party hereto has caused this Agreement to be duly executed by its authorized signatory as of the date first written above.</w:t>
      </w:r>
    </w:p>
    <w:p>
      <w:pPr>
        <w:spacing w:after="0" w:line="3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JCET Management Co., Ltd.</w:t>
      </w:r>
    </w:p>
    <w:p>
      <w:pPr>
        <w:spacing w:after="0" w:line="2" w:lineRule="exact"/>
        <w:rPr>
          <w:sz w:val="20"/>
          <w:szCs w:val="20"/>
          <w:color w:val="auto"/>
        </w:rPr>
      </w:pPr>
    </w:p>
    <w:p>
      <w:pPr>
        <w:ind w:left="4540"/>
        <w:spacing w:after="0" w:line="268" w:lineRule="exact"/>
        <w:rPr>
          <w:sz w:val="20"/>
          <w:szCs w:val="20"/>
          <w:color w:val="auto"/>
        </w:rPr>
      </w:pPr>
      <w:r>
        <w:rPr>
          <w:rFonts w:ascii="Times New Roman" w:cs="Times New Roman" w:eastAsia="Times New Roman" w:hAnsi="Times New Roman"/>
          <w:sz w:val="22"/>
          <w:szCs w:val="22"/>
          <w:b w:val="1"/>
          <w:bCs w:val="1"/>
          <w:color w:val="auto"/>
        </w:rPr>
        <w:t>(</w:t>
      </w:r>
      <w:r>
        <w:rPr>
          <w:rFonts w:ascii="SimSun" w:cs="SimSun" w:eastAsia="SimSun" w:hAnsi="SimSun"/>
          <w:sz w:val="22"/>
          <w:szCs w:val="22"/>
          <w:color w:val="auto"/>
        </w:rPr>
        <w:t>长电科技管理有限公司</w:t>
      </w:r>
      <w:r>
        <w:rPr>
          <w:rFonts w:ascii="Times New Roman" w:cs="Times New Roman" w:eastAsia="Times New Roman" w:hAnsi="Times New Roman"/>
          <w:sz w:val="22"/>
          <w:szCs w:val="22"/>
          <w:b w:val="1"/>
          <w:bCs w:val="1"/>
          <w:color w:val="auto"/>
        </w:rPr>
        <w:t>)</w:t>
      </w:r>
    </w:p>
    <w:p>
      <w:pPr>
        <w:spacing w:after="0" w:line="3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(Company Chop)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Li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8077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ind w:left="4540"/>
        <w:spacing w:after="0" w:line="260" w:lineRule="exact"/>
        <w:rPr>
          <w:sz w:val="20"/>
          <w:szCs w:val="20"/>
          <w:color w:val="auto"/>
        </w:rPr>
      </w:pPr>
      <w:r>
        <w:rPr>
          <w:rFonts w:ascii="Times New Roman" w:cs="Times New Roman" w:eastAsia="Times New Roman" w:hAnsi="Times New Roman"/>
          <w:sz w:val="22"/>
          <w:szCs w:val="22"/>
          <w:color w:val="auto"/>
        </w:rPr>
        <w:t>Name: Li Zheng (</w:t>
      </w:r>
      <w:r>
        <w:rPr>
          <w:rFonts w:ascii="SimSun" w:cs="SimSun" w:eastAsia="SimSun" w:hAnsi="SimSun"/>
          <w:sz w:val="22"/>
          <w:szCs w:val="22"/>
          <w:color w:val="auto"/>
        </w:rPr>
        <w:t>郑力</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Equity Purchase Agreement]</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Without becoming a party to this Agreement, Western Digital Technologies, Inc. (“</w:t>
      </w:r>
      <w:r>
        <w:rPr>
          <w:rFonts w:ascii="Times New Roman" w:cs="Times New Roman" w:eastAsia="Times New Roman" w:hAnsi="Times New Roman"/>
          <w:sz w:val="22"/>
          <w:szCs w:val="22"/>
          <w:u w:val="single" w:color="auto"/>
          <w:color w:val="auto"/>
        </w:rPr>
        <w:t>WDT</w:t>
      </w:r>
      <w:r>
        <w:rPr>
          <w:rFonts w:ascii="Times New Roman" w:cs="Times New Roman" w:eastAsia="Times New Roman" w:hAnsi="Times New Roman"/>
          <w:sz w:val="22"/>
          <w:szCs w:val="22"/>
          <w:color w:val="auto"/>
        </w:rPr>
        <w:t>”) hereby assumes joint and several liability with Seller for any amounts payable by Seller to Purchaser hereunder (the “</w:t>
      </w:r>
      <w:r>
        <w:rPr>
          <w:rFonts w:ascii="Times New Roman" w:cs="Times New Roman" w:eastAsia="Times New Roman" w:hAnsi="Times New Roman"/>
          <w:sz w:val="22"/>
          <w:szCs w:val="22"/>
          <w:u w:val="single" w:color="auto"/>
          <w:color w:val="auto"/>
        </w:rPr>
        <w:t>Seller Payment Guarantee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WDT shall be permitted to assign and transfer the Seller Payment Guarantee to the proposed successor in interest of the flash business in connection with the Flash Spin-off (the “</w:t>
      </w:r>
      <w:r>
        <w:rPr>
          <w:rFonts w:ascii="Times New Roman" w:cs="Times New Roman" w:eastAsia="Times New Roman" w:hAnsi="Times New Roman"/>
          <w:sz w:val="22"/>
          <w:szCs w:val="22"/>
          <w:u w:val="single" w:color="auto"/>
          <w:color w:val="auto"/>
        </w:rPr>
        <w:t>Flash Spin-off Successor</w:t>
      </w:r>
      <w:r>
        <w:rPr>
          <w:rFonts w:ascii="Times New Roman" w:cs="Times New Roman" w:eastAsia="Times New Roman" w:hAnsi="Times New Roman"/>
          <w:sz w:val="22"/>
          <w:szCs w:val="22"/>
          <w:color w:val="auto"/>
        </w:rPr>
        <w:t>”) so long as such assignee has credibility for performing such undertaking and has consolidated net assets of no less than One Billion U.S. Dollars (US$1,000,000,000). In connection with such assignment, the Flash Spin-off Successor shall execute and deliver a written undertaking to Purchaser expressly assuming the Seller Payment Guarantee and upon delivery thereof, WDT shall be fully relieved of the Seller Payment Guarantee and have no continuing obligations hereunder.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WDT warrants and undertakes to Purchaser as below:</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WDT has the requisite corporate or other similar power, as applicable, and has the authority to execute and deliver this Agreement, and to provide the Seller Payment Guarantee. The execution and delivery of this undertaking and the consummation of the obligation contemplated herein has been duly and validly authorized by all requisite corporate, partnership or limited liability company or other similar action, as applicable on the part of WDT. This undertaking shall upon such execution and delivery by WDT to Purchaser, be the legal, valid and binding obligations of WDT, enforceable against WDT in accordance with it terms.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WDT acknowledges and accepts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(Governing Law) and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 xml:space="preserve"> (Dispute Resolution), and such provisions are binding and enforceable against WDT as if it were a party thereto.</w:t>
      </w:r>
    </w:p>
    <w:p>
      <w:pPr>
        <w:spacing w:after="0" w:line="3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Western Digital Technologies, Inc.</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Brandi Steege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11430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Brandi Steege</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Equity Purchase Agreement]</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Without becoming a party to this Agreement, STATS ChipPAC Pte. Ltd. (“</w:t>
      </w:r>
      <w:r>
        <w:rPr>
          <w:rFonts w:ascii="Times New Roman" w:cs="Times New Roman" w:eastAsia="Times New Roman" w:hAnsi="Times New Roman"/>
          <w:sz w:val="22"/>
          <w:szCs w:val="22"/>
          <w:u w:val="single" w:color="auto"/>
          <w:color w:val="auto"/>
        </w:rPr>
        <w:t>STATS ChipPAC</w:t>
      </w:r>
      <w:r>
        <w:rPr>
          <w:rFonts w:ascii="Times New Roman" w:cs="Times New Roman" w:eastAsia="Times New Roman" w:hAnsi="Times New Roman"/>
          <w:sz w:val="22"/>
          <w:szCs w:val="22"/>
          <w:color w:val="auto"/>
        </w:rPr>
        <w:t>”) hereby assumes joint and several liability with Purchaser for the Purchaser Termination Fee payable by Purchaser to Seller hereunder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Corporate Guarantee</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STATS ChipPAC warrants and undertakes to Seller as below:</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STATS ChipPAC has the requisite corporate or other similar power, as applicable, and has the authority to execute and deliver this guarantee, and to provide the Purchaser Corporate Guarantee. The execution and delivery of this undertaking and the consummation of the obligation contemplated herein has been duly and validly authorized by all requisite corporate, partnership or limited liability company or other similar action, as applicable on the part of STATS ChipPAC. This undertaking shall upon such execution and delivery by STATS ChipPAC to Seller, be the legal, valid and binding obligations of STATS ChipPAC, enforceable against STATS ChipPAC in accordance with it terms.</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STATS ChipPAC acknowledges and accepts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(Governing Law) and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 xml:space="preserve"> (Dispute Resolution), and such provisions are binding and enforceable against STATS ChipPAC as if it were a party thereto.</w:t>
      </w:r>
    </w:p>
    <w:p>
      <w:pPr>
        <w:spacing w:after="0" w:line="3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STATS ChipPAC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Li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8077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Li Zheng</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Director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Equity Purchase Agreement]</w:t>
      </w:r>
    </w:p>
    <w:p>
      <w:pPr>
        <w:sectPr>
          <w:pgSz w:w="11900" w:h="16838" w:orient="portrait"/>
          <w:cols w:equalWidth="0" w:num="1">
            <w:col w:w="11240"/>
          </w:cols>
          <w:pgMar w:left="320" w:top="1440"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2024</w:t>
      </w:r>
    </w:p>
    <w:p>
      <w:pPr>
        <w:sectPr>
          <w:pgSz w:w="11900" w:h="16838" w:orient="portrait"/>
          <w:cols w:equalWidth="0" w:num="1">
            <w:col w:w="11240"/>
          </w:cols>
          <w:pgMar w:left="320" w:top="88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Wissam Jabre, certify that:</w:t>
      </w:r>
    </w:p>
    <w:p>
      <w:pPr>
        <w:spacing w:after="0" w:line="104" w:lineRule="exact"/>
        <w:rPr>
          <w:sz w:val="20"/>
          <w:szCs w:val="20"/>
          <w:color w:val="auto"/>
        </w:rPr>
      </w:pPr>
    </w:p>
    <w:p>
      <w:pPr>
        <w:ind w:left="520" w:hanging="188"/>
        <w:spacing w:after="0"/>
        <w:tabs>
          <w:tab w:leader="none" w:pos="5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Wissam Jabre</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2024</w:t>
      </w:r>
    </w:p>
    <w:p>
      <w:pPr>
        <w:sectPr>
          <w:pgSz w:w="11900" w:h="16838" w:orient="portrait"/>
          <w:cols w:equalWidth="0" w:num="1">
            <w:col w:w="11240"/>
          </w:cols>
          <w:pgMar w:left="320" w:top="887" w:right="339" w:bottom="1440" w:gutter="0" w:footer="0" w:header="0"/>
        </w:sectPr>
      </w:pPr>
    </w:p>
    <w:bookmarkStart w:id="176" w:name="page177"/>
    <w:bookmarkEnd w:id="17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360" w:firstLine="332"/>
        <w:spacing w:after="0" w:line="282" w:lineRule="auto"/>
        <w:tabs>
          <w:tab w:leader="none" w:pos="53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March 29, 2024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2024</w:t>
      </w:r>
    </w:p>
    <w:p>
      <w:pPr>
        <w:sectPr>
          <w:pgSz w:w="11900" w:h="16838" w:orient="portrait"/>
          <w:cols w:equalWidth="0" w:num="1">
            <w:col w:w="11240"/>
          </w:cols>
          <w:pgMar w:left="320" w:top="887" w:right="339" w:bottom="1440" w:gutter="0" w:footer="0" w:header="0"/>
        </w:sectPr>
      </w:pPr>
    </w:p>
    <w:bookmarkStart w:id="177" w:name="page178"/>
    <w:bookmarkEnd w:id="17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360" w:firstLine="332"/>
        <w:spacing w:after="0" w:line="282" w:lineRule="auto"/>
        <w:tabs>
          <w:tab w:leader="none" w:pos="53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March 29, 2024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Wissam Jabre</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1)"/>
      <w:numFmt w:val="decimal"/>
      <w:start w:val="1"/>
    </w:lvl>
  </w:abstractNum>
  <w:abstractNum w:abstractNumId="4">
    <w:nsid w:val="1716703B"/>
    <w:multiLevelType w:val="hybridMultilevel"/>
    <w:lvl w:ilvl="0">
      <w:lvlJc w:val="left"/>
      <w:lvlText w:val="(%1)"/>
      <w:numFmt w:val="decimal"/>
      <w:start w:val="1"/>
    </w:lvl>
  </w:abstractNum>
  <w:abstractNum w:abstractNumId="5">
    <w:nsid w:val="14E17E33"/>
    <w:multiLevelType w:val="hybridMultilevel"/>
    <w:lvl w:ilvl="0">
      <w:lvlJc w:val="left"/>
      <w:lvlText w:val="(%1)"/>
      <w:numFmt w:val="lowerRoman"/>
      <w:start w:val="1"/>
    </w:lvl>
  </w:abstractNum>
  <w:abstractNum w:abstractNumId="6">
    <w:nsid w:val="3222E7CD"/>
    <w:multiLevelType w:val="hybridMultilevel"/>
    <w:lvl w:ilvl="0">
      <w:lvlJc w:val="left"/>
      <w:lvlText w:val="(%1)"/>
      <w:numFmt w:val="decimal"/>
      <w:start w:val="1"/>
    </w:lvl>
  </w:abstractNum>
  <w:abstractNum w:abstractNumId="7">
    <w:nsid w:val="74DE0EE3"/>
    <w:multiLevelType w:val="hybridMultilevel"/>
    <w:lvl w:ilvl="0">
      <w:lvlJc w:val="left"/>
      <w:lvlText w:val="(%1)"/>
      <w:numFmt w:val="decimal"/>
      <w:start w:val="1"/>
    </w:lvl>
  </w:abstractNum>
  <w:abstractNum w:abstractNumId="8">
    <w:nsid w:val="68EBC550"/>
    <w:multiLevelType w:val="hybridMultilevel"/>
    <w:lvl w:ilvl="0">
      <w:lvlJc w:val="left"/>
      <w:lvlText w:val="(%1)"/>
      <w:numFmt w:val="decimal"/>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1)"/>
      <w:numFmt w:val="lowerRoman"/>
      <w:start w:val="2"/>
    </w:lvl>
  </w:abstractNum>
  <w:abstractNum w:abstractNumId="11">
    <w:nsid w:val="4A2AC315"/>
    <w:multiLevelType w:val="hybridMultilevel"/>
    <w:lvl w:ilvl="0">
      <w:lvlJc w:val="left"/>
      <w:lvlText w:val="(%1)"/>
      <w:numFmt w:val="lowerRoman"/>
      <w:start w:val="4"/>
    </w:lvl>
  </w:abstractNum>
  <w:abstractNum w:abstractNumId="12">
    <w:nsid w:val="39EE015C"/>
    <w:multiLevelType w:val="hybridMultilevel"/>
    <w:lvl w:ilvl="0">
      <w:lvlJc w:val="left"/>
      <w:lvlText w:val="†"/>
      <w:numFmt w:val="bullet"/>
      <w:start w:val="1"/>
    </w:lvl>
    <w:lvl w:ilvl="1">
      <w:lvlJc w:val="left"/>
      <w:lvlText w:val="%2"/>
      <w:numFmt w:val="decimal"/>
      <w:start w:val="104"/>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1."/>
      <w:numFmt w:val="decimal"/>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1)"/>
      <w:numFmt w:val="lowerLetter"/>
      <w:start w:val="1"/>
    </w:lvl>
    <w:lvl w:ilvl="1">
      <w:lvlJc w:val="left"/>
      <w:lvlText w:val="(%2)"/>
      <w:numFmt w:val="lowerRoman"/>
      <w:start w:val="1"/>
    </w:lvl>
  </w:abstractNum>
  <w:abstractNum w:abstractNumId="17">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
    <w:nsid w:val="7F0157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
    <w:nsid w:val="49DA307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5FB8370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50801EE1"/>
    <w:multiLevelType w:val="hybridMultilevel"/>
    <w:lvl w:ilvl="0">
      <w:lvlJc w:val="left"/>
      <w:lvlText w:val="(%1)"/>
      <w:numFmt w:val="lowerLetter"/>
      <w:start w:val="1"/>
    </w:lvl>
    <w:lvl w:ilvl="1">
      <w:lvlJc w:val="left"/>
      <w:lvlText w:val="(%2)"/>
      <w:numFmt w:val="lowerRoman"/>
      <w:start w:val="1"/>
    </w:lvl>
  </w:abstractNum>
  <w:abstractNum w:abstractNumId="23">
    <w:nsid w:val="488AC1A"/>
    <w:multiLevelType w:val="hybridMultilevel"/>
    <w:lvl w:ilvl="0">
      <w:lvlJc w:val="left"/>
      <w:lvlText w:val="(%1)"/>
      <w:numFmt w:val="lowerLetter"/>
      <w:start w:val="1"/>
    </w:lvl>
  </w:abstractNum>
  <w:abstractNum w:abstractNumId="24">
    <w:nsid w:val="5FB8011C"/>
    <w:multiLevelType w:val="hybridMultilevel"/>
    <w:lvl w:ilvl="0">
      <w:lvlJc w:val="left"/>
      <w:lvlText w:val="(%1)"/>
      <w:numFmt w:val="lowerLetter"/>
      <w:start w:val="1"/>
    </w:lvl>
    <w:lvl w:ilvl="1">
      <w:lvlJc w:val="left"/>
      <w:lvlText w:val="(%2)"/>
      <w:numFmt w:val="lowerLetter"/>
      <w:start w:val="9"/>
    </w:lvl>
  </w:abstractNum>
  <w:abstractNum w:abstractNumId="25">
    <w:nsid w:val="6AA78F7F"/>
    <w:multiLevelType w:val="hybridMultilevel"/>
    <w:lvl w:ilvl="0">
      <w:lvlJc w:val="left"/>
      <w:lvlText w:val="%1"/>
      <w:numFmt w:val="lowerLetter"/>
      <w:start w:val="1"/>
    </w:lvl>
    <w:lvl w:ilvl="1">
      <w:lvlJc w:val="left"/>
      <w:lvlText w:val="(%2)"/>
      <w:numFmt w:val="lowerLetter"/>
      <w:start w:val="35"/>
    </w:lvl>
  </w:abstractNum>
  <w:abstractNum w:abstractNumId="26">
    <w:nsid w:val="7672BD23"/>
    <w:multiLevelType w:val="hybridMultilevel"/>
    <w:lvl w:ilvl="0">
      <w:lvlJc w:val="left"/>
      <w:lvlText w:val="(%1)"/>
      <w:numFmt w:val="lowerLetter"/>
      <w:start w:val="3"/>
    </w:lvl>
    <w:lvl w:ilvl="1">
      <w:lvlJc w:val="left"/>
      <w:lvlText w:val="%2"/>
      <w:numFmt w:val="lowerLetter"/>
      <w:start w:val="1"/>
    </w:lvl>
  </w:abstractNum>
  <w:abstractNum w:abstractNumId="27">
    <w:nsid w:val="6FC75AF8"/>
    <w:multiLevelType w:val="hybridMultilevel"/>
    <w:lvl w:ilvl="0">
      <w:lvlJc w:val="left"/>
      <w:lvlText w:val="(%1)"/>
      <w:numFmt w:val="lowerLetter"/>
      <w:start w:val="1"/>
    </w:lvl>
    <w:lvl w:ilvl="1">
      <w:lvlJc w:val="left"/>
      <w:lvlText w:val="(%2)"/>
      <w:numFmt w:val="lowerRoman"/>
      <w:start w:val="1"/>
    </w:lvl>
  </w:abstractNum>
  <w:abstractNum w:abstractNumId="28">
    <w:nsid w:val="6A5F7029"/>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abstractNum w:abstractNumId="29">
    <w:nsid w:val="7D5E18F8"/>
    <w:multiLevelType w:val="hybridMultilevel"/>
    <w:lvl w:ilvl="0">
      <w:lvlJc w:val="left"/>
      <w:lvlText w:val="(%1)"/>
      <w:numFmt w:val="lowerLetter"/>
      <w:start w:val="1"/>
    </w:lvl>
  </w:abstractNum>
  <w:abstractNum w:abstractNumId="30">
    <w:nsid w:val="5F3534A4"/>
    <w:multiLevelType w:val="hybridMultilevel"/>
    <w:lvl w:ilvl="0">
      <w:lvlJc w:val="left"/>
      <w:lvlText w:val="%1"/>
      <w:numFmt w:val="decimal"/>
      <w:start w:val="1"/>
    </w:lvl>
    <w:lvl w:ilvl="1">
      <w:lvlJc w:val="left"/>
      <w:lvlText w:val="(%2)"/>
      <w:numFmt w:val="lowerLetter"/>
      <w:start w:val="2"/>
    </w:lvl>
  </w:abstractNum>
  <w:abstractNum w:abstractNumId="31">
    <w:nsid w:val="73A1821B"/>
    <w:multiLevelType w:val="hybridMultilevel"/>
    <w:lvl w:ilvl="0">
      <w:lvlJc w:val="left"/>
      <w:lvlText w:val="%1."/>
      <w:numFmt w:val="decimal"/>
      <w:start w:val="6"/>
    </w:lvl>
    <w:lvl w:ilvl="1">
      <w:lvlJc w:val="left"/>
      <w:lvlText w:val="%2"/>
      <w:numFmt w:val="lowerLetter"/>
      <w:start w:val="1"/>
    </w:lvl>
  </w:abstractNum>
  <w:abstractNum w:abstractNumId="32">
    <w:nsid w:val="7DE67713"/>
    <w:multiLevelType w:val="hybridMultilevel"/>
    <w:lvl w:ilvl="0">
      <w:lvlJc w:val="left"/>
      <w:lvlText w:val="%1"/>
      <w:numFmt w:val="decimal"/>
      <w:start w:val="1"/>
    </w:lvl>
    <w:lvl w:ilvl="1">
      <w:lvlJc w:val="left"/>
      <w:lvlText w:val="(%2)"/>
      <w:numFmt w:val="lowerLetter"/>
      <w:start w:val="1"/>
    </w:lvl>
  </w:abstractNum>
  <w:abstractNum w:abstractNumId="33">
    <w:nsid w:val="555C55B5"/>
    <w:multiLevelType w:val="hybridMultilevel"/>
    <w:lvl w:ilvl="0">
      <w:lvlJc w:val="left"/>
      <w:lvlText w:val="%1."/>
      <w:numFmt w:val="decimal"/>
      <w:start w:val="8"/>
    </w:lvl>
    <w:lvl w:ilvl="1">
      <w:lvlJc w:val="left"/>
      <w:lvlText w:val="%2"/>
      <w:numFmt w:val="lowerLetter"/>
      <w:start w:val="1"/>
    </w:lvl>
  </w:abstractNum>
  <w:abstractNum w:abstractNumId="34">
    <w:nsid w:val="3FA62ACA"/>
    <w:multiLevelType w:val="hybridMultilevel"/>
    <w:lvl w:ilvl="0">
      <w:lvlJc w:val="left"/>
      <w:lvlText w:val="%1."/>
      <w:numFmt w:val="decimal"/>
      <w:start w:val="10"/>
    </w:lvl>
  </w:abstractNum>
  <w:abstractNum w:abstractNumId="35">
    <w:nsid w:val="14FCE74E"/>
    <w:multiLevelType w:val="hybridMultilevel"/>
    <w:lvl w:ilvl="0">
      <w:lvlJc w:val="left"/>
      <w:lvlText w:val="(%1)"/>
      <w:numFmt w:val="lowerLetter"/>
      <w:start w:val="1"/>
    </w:lvl>
  </w:abstractNum>
  <w:abstractNum w:abstractNumId="36">
    <w:nsid w:val="6A3DD3E8"/>
    <w:multiLevelType w:val="hybridMultilevel"/>
    <w:lvl w:ilvl="0">
      <w:lvlJc w:val="left"/>
      <w:lvlText w:val="(%1)"/>
      <w:numFmt w:val="lowerLetter"/>
      <w:start w:val="3"/>
    </w:lvl>
  </w:abstractNum>
  <w:abstractNum w:abstractNumId="37">
    <w:nsid w:val="71C91298"/>
    <w:multiLevelType w:val="hybridMultilevel"/>
    <w:lvl w:ilvl="0">
      <w:lvlJc w:val="left"/>
      <w:lvlText w:val="(%1)"/>
      <w:numFmt w:val="lowerLetter"/>
      <w:start w:val="2"/>
    </w:lvl>
  </w:abstractNum>
  <w:abstractNum w:abstractNumId="38">
    <w:nsid w:val="9DAF632"/>
    <w:multiLevelType w:val="hybridMultilevel"/>
    <w:lvl w:ilvl="0">
      <w:lvlJc w:val="left"/>
      <w:lvlText w:val="(%1)"/>
      <w:numFmt w:val="lowerLetter"/>
      <w:start w:val="9"/>
    </w:lvl>
  </w:abstractNum>
  <w:abstractNum w:abstractNumId="39">
    <w:nsid w:val="53299938"/>
    <w:multiLevelType w:val="hybridMultilevel"/>
    <w:lvl w:ilvl="0">
      <w:lvlJc w:val="left"/>
      <w:lvlText w:val="(%1)"/>
      <w:numFmt w:val="lowerLetter"/>
      <w:start w:val="2"/>
    </w:lvl>
  </w:abstractNum>
  <w:abstractNum w:abstractNumId="40">
    <w:nsid w:val="1FBFE8E0"/>
    <w:multiLevelType w:val="hybridMultilevel"/>
    <w:lvl w:ilvl="0">
      <w:lvlJc w:val="left"/>
      <w:lvlText w:val="(%1)"/>
      <w:numFmt w:val="lowerRoman"/>
      <w:start w:val="2"/>
    </w:lvl>
  </w:abstractNum>
  <w:abstractNum w:abstractNumId="41">
    <w:nsid w:val="5092CA79"/>
    <w:multiLevelType w:val="hybridMultilevel"/>
    <w:lvl w:ilvl="0">
      <w:lvlJc w:val="left"/>
      <w:lvlText w:val="(%1)"/>
      <w:numFmt w:val="lowerLetter"/>
      <w:start w:val="2"/>
    </w:lvl>
  </w:abstractNum>
  <w:abstractNum w:abstractNumId="42">
    <w:nsid w:val="1D545C4D"/>
    <w:multiLevelType w:val="hybridMultilevel"/>
    <w:lvl w:ilvl="0">
      <w:lvlJc w:val="left"/>
      <w:lvlText w:val="(%1)"/>
      <w:numFmt w:val="lowerLetter"/>
      <w:start w:val="1"/>
    </w:lvl>
  </w:abstractNum>
  <w:abstractNum w:abstractNumId="43">
    <w:nsid w:val="59ADEA3D"/>
    <w:multiLevelType w:val="hybridMultilevel"/>
    <w:lvl w:ilvl="0">
      <w:lvlJc w:val="left"/>
      <w:lvlText w:val="(%1)"/>
      <w:numFmt w:val="lowerLetter"/>
      <w:start w:val="1"/>
    </w:lvl>
    <w:lvl w:ilvl="1">
      <w:lvlJc w:val="left"/>
      <w:lvlText w:val="(%2)"/>
      <w:numFmt w:val="lowerRoman"/>
      <w:start w:val="1"/>
    </w:lvl>
  </w:abstractNum>
  <w:abstractNum w:abstractNumId="44">
    <w:nsid w:val="288F1A34"/>
    <w:multiLevelType w:val="hybridMultilevel"/>
    <w:lvl w:ilvl="0">
      <w:lvlJc w:val="left"/>
      <w:lvlText w:val="%1"/>
      <w:numFmt w:val="lowerLetter"/>
      <w:start w:val="1"/>
    </w:lvl>
    <w:lvl w:ilvl="1">
      <w:lvlJc w:val="left"/>
      <w:lvlText w:val="(%2)"/>
      <w:numFmt w:val="lowerRoman"/>
      <w:start w:val="3"/>
    </w:lvl>
  </w:abstractNum>
  <w:abstractNum w:abstractNumId="45">
    <w:nsid w:val="2A155DBC"/>
    <w:multiLevelType w:val="hybridMultilevel"/>
    <w:lvl w:ilvl="0">
      <w:lvlJc w:val="left"/>
      <w:lvlText w:val="(%1)"/>
      <w:numFmt w:val="lowerLetter"/>
      <w:start w:val="3"/>
    </w:lvl>
    <w:lvl w:ilvl="1">
      <w:lvlJc w:val="left"/>
      <w:lvlText w:val="%2"/>
      <w:numFmt w:val="lowerRoman"/>
      <w:start w:val="1"/>
    </w:lvl>
  </w:abstractNum>
  <w:abstractNum w:abstractNumId="46">
    <w:nsid w:val="1D9F6E5F"/>
    <w:multiLevelType w:val="hybridMultilevel"/>
    <w:lvl w:ilvl="0">
      <w:lvlJc w:val="left"/>
      <w:lvlText w:val="(%1)"/>
      <w:numFmt w:val="lowerLetter"/>
      <w:start w:val="1"/>
    </w:lvl>
  </w:abstractNum>
  <w:abstractNum w:abstractNumId="47">
    <w:nsid w:val="97E1B4E"/>
    <w:multiLevelType w:val="hybridMultilevel"/>
    <w:lvl w:ilvl="0">
      <w:lvlJc w:val="left"/>
      <w:lvlText w:val="(%1)"/>
      <w:numFmt w:val="lowerLetter"/>
      <w:start w:val="2"/>
    </w:lvl>
  </w:abstractNum>
  <w:abstractNum w:abstractNumId="48">
    <w:nsid w:val="51088277"/>
    <w:multiLevelType w:val="hybridMultilevel"/>
    <w:lvl w:ilvl="0">
      <w:lvlJc w:val="left"/>
      <w:lvlText w:val="(%1)"/>
      <w:numFmt w:val="lowerLetter"/>
      <w:start w:val="1"/>
    </w:lvl>
    <w:lvl w:ilvl="1">
      <w:lvlJc w:val="left"/>
      <w:lvlText w:val="(%2)"/>
      <w:numFmt w:val="lowerRoman"/>
      <w:start w:val="1"/>
    </w:lvl>
  </w:abstractNum>
  <w:abstractNum w:abstractNumId="49">
    <w:nsid w:val="1CA0C5FA"/>
    <w:multiLevelType w:val="hybridMultilevel"/>
    <w:lvl w:ilvl="0">
      <w:lvlJc w:val="left"/>
      <w:lvlText w:val="(%1)"/>
      <w:numFmt w:val="lowerLetter"/>
      <w:start w:val="1"/>
    </w:lvl>
  </w:abstractNum>
  <w:abstractNum w:abstractNumId="50">
    <w:nsid w:val="53584BCB"/>
    <w:multiLevelType w:val="hybridMultilevel"/>
    <w:lvl w:ilvl="0">
      <w:lvlJc w:val="left"/>
      <w:lvlText w:val="(%1)"/>
      <w:numFmt w:val="lowerLetter"/>
      <w:start w:val="1"/>
    </w:lvl>
  </w:abstractNum>
  <w:abstractNum w:abstractNumId="51">
    <w:nsid w:val="415E286C"/>
    <w:multiLevelType w:val="hybridMultilevel"/>
    <w:lvl w:ilvl="0">
      <w:lvlJc w:val="left"/>
      <w:lvlText w:val="(%1)"/>
      <w:numFmt w:val="lowerLetter"/>
      <w:start w:val="2"/>
    </w:lvl>
  </w:abstractNum>
  <w:abstractNum w:abstractNumId="52">
    <w:nsid w:val="7C58FD05"/>
    <w:multiLevelType w:val="hybridMultilevel"/>
    <w:lvl w:ilvl="0">
      <w:lvlJc w:val="left"/>
      <w:lvlText w:val="(%1)"/>
      <w:numFmt w:val="lowerLetter"/>
      <w:start w:val="6"/>
    </w:lvl>
  </w:abstractNum>
  <w:abstractNum w:abstractNumId="53">
    <w:nsid w:val="23D86AAC"/>
    <w:multiLevelType w:val="hybridMultilevel"/>
    <w:lvl w:ilvl="0">
      <w:lvlJc w:val="left"/>
      <w:lvlText w:val="(%1)"/>
      <w:numFmt w:val="lowerLetter"/>
      <w:start w:val="1"/>
    </w:lvl>
  </w:abstractNum>
  <w:abstractNum w:abstractNumId="54">
    <w:nsid w:val="45E6D486"/>
    <w:multiLevelType w:val="hybridMultilevel"/>
    <w:lvl w:ilvl="0">
      <w:lvlJc w:val="left"/>
      <w:lvlText w:val="(%1)"/>
      <w:numFmt w:val="lowerLetter"/>
      <w:start w:val="1"/>
    </w:lvl>
    <w:lvl w:ilvl="1">
      <w:lvlJc w:val="left"/>
      <w:lvlText w:val="(%2)"/>
      <w:numFmt w:val="lowerRoman"/>
      <w:start w:val="1"/>
    </w:lvl>
  </w:abstractNum>
  <w:abstractNum w:abstractNumId="55">
    <w:nsid w:val="5C10FE21"/>
    <w:multiLevelType w:val="hybridMultilevel"/>
    <w:lvl w:ilvl="0">
      <w:lvlJc w:val="left"/>
      <w:lvlText w:val="(%1)"/>
      <w:numFmt w:val="lowerLetter"/>
      <w:start w:val="1"/>
    </w:lvl>
    <w:lvl w:ilvl="1">
      <w:lvlJc w:val="left"/>
      <w:lvlText w:val="(%2)"/>
      <w:numFmt w:val="lowerRoman"/>
      <w:start w:val="1"/>
    </w:lvl>
  </w:abstractNum>
  <w:abstractNum w:abstractNumId="56">
    <w:nsid w:val="E7FFA2B"/>
    <w:multiLevelType w:val="hybridMultilevel"/>
    <w:lvl w:ilvl="0">
      <w:lvlJc w:val="left"/>
      <w:lvlText w:val="(%1)"/>
      <w:numFmt w:val="lowerLetter"/>
      <w:start w:val="1"/>
    </w:lvl>
  </w:abstractNum>
  <w:abstractNum w:abstractNumId="57">
    <w:nsid w:val="3C5991AA"/>
    <w:multiLevelType w:val="hybridMultilevel"/>
    <w:lvl w:ilvl="0">
      <w:lvlJc w:val="left"/>
      <w:lvlText w:val="(%1)"/>
      <w:numFmt w:val="lowerLetter"/>
      <w:start w:val="1"/>
    </w:lvl>
  </w:abstractNum>
  <w:abstractNum w:abstractNumId="58">
    <w:nsid w:val="4BD8591A"/>
    <w:multiLevelType w:val="hybridMultilevel"/>
    <w:lvl w:ilvl="0">
      <w:lvlJc w:val="left"/>
      <w:lvlText w:val="(%1)"/>
      <w:numFmt w:val="lowerLetter"/>
      <w:start w:val="1"/>
    </w:lvl>
  </w:abstractNum>
  <w:abstractNum w:abstractNumId="59">
    <w:nsid w:val="78DF6A55"/>
    <w:multiLevelType w:val="hybridMultilevel"/>
    <w:lvl w:ilvl="0">
      <w:lvlJc w:val="left"/>
      <w:lvlText w:val="(%1)"/>
      <w:numFmt w:val="lowerLetter"/>
      <w:start w:val="2"/>
    </w:lvl>
  </w:abstractNum>
  <w:abstractNum w:abstractNumId="60">
    <w:nsid w:val="39B7AAA2"/>
    <w:multiLevelType w:val="hybridMultilevel"/>
    <w:lvl w:ilvl="0">
      <w:lvlJc w:val="left"/>
      <w:lvlText w:val="(%1)"/>
      <w:numFmt w:val="lowerLetter"/>
      <w:start w:val="1"/>
    </w:lvl>
  </w:abstractNum>
  <w:abstractNum w:abstractNumId="61">
    <w:nsid w:val="2B0D8DBE"/>
    <w:multiLevelType w:val="hybridMultilevel"/>
    <w:lvl w:ilvl="0">
      <w:lvlJc w:val="left"/>
      <w:lvlText w:val="(%1)"/>
      <w:numFmt w:val="lowerLetter"/>
      <w:start w:val="1"/>
    </w:lvl>
  </w:abstractNum>
  <w:abstractNum w:abstractNumId="62">
    <w:nsid w:val="6C80EC70"/>
    <w:multiLevelType w:val="hybridMultilevel"/>
    <w:lvl w:ilvl="0">
      <w:lvlJc w:val="left"/>
      <w:lvlText w:val="(%1)"/>
      <w:numFmt w:val="lowerLetter"/>
      <w:start w:val="1"/>
    </w:lvl>
  </w:abstractNum>
  <w:abstractNum w:abstractNumId="63">
    <w:nsid w:val="379E21B5"/>
    <w:multiLevelType w:val="hybridMultilevel"/>
    <w:lvl w:ilvl="0">
      <w:lvlJc w:val="left"/>
      <w:lvlText w:val="(%1)"/>
      <w:numFmt w:val="lowerLetter"/>
      <w:start w:val="3"/>
    </w:lvl>
  </w:abstractNum>
  <w:abstractNum w:abstractNumId="64">
    <w:nsid w:val="69E373"/>
    <w:multiLevelType w:val="hybridMultilevel"/>
    <w:lvl w:ilvl="0">
      <w:lvlJc w:val="left"/>
      <w:lvlText w:val="(%1)"/>
      <w:numFmt w:val="lowerLetter"/>
      <w:start w:val="1"/>
    </w:lvl>
  </w:abstractNum>
  <w:abstractNum w:abstractNumId="65">
    <w:nsid w:val="2C27173B"/>
    <w:multiLevelType w:val="hybridMultilevel"/>
    <w:lvl w:ilvl="0">
      <w:lvlJc w:val="left"/>
      <w:lvlText w:val="(%1)"/>
      <w:numFmt w:val="lowerLetter"/>
      <w:start w:val="1"/>
    </w:lvl>
  </w:abstractNum>
  <w:abstractNum w:abstractNumId="66">
    <w:nsid w:val="4C9B0904"/>
    <w:multiLevelType w:val="hybridMultilevel"/>
    <w:lvl w:ilvl="0">
      <w:lvlJc w:val="left"/>
      <w:lvlText w:val="(%1)"/>
      <w:numFmt w:val="lowerLetter"/>
      <w:start w:val="2"/>
    </w:lvl>
  </w:abstractNum>
  <w:abstractNum w:abstractNumId="67">
    <w:nsid w:val="6AA7B75C"/>
    <w:multiLevelType w:val="hybridMultilevel"/>
    <w:lvl w:ilvl="0">
      <w:lvlJc w:val="left"/>
      <w:lvlText w:val="(%1)"/>
      <w:numFmt w:val="lowerLetter"/>
      <w:start w:val="3"/>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1"/>
      <w:numFmt w:val="lowerLetter"/>
      <w:start w:val="1"/>
    </w:lvl>
    <w:lvl w:ilvl="1">
      <w:lvlJc w:val="left"/>
      <w:lvlText w:val="(%2)"/>
      <w:numFmt w:val="lowerLetter"/>
      <w:start w:val="1"/>
    </w:lvl>
  </w:abstractNum>
  <w:abstractNum w:abstractNumId="70">
    <w:nsid w:val="3DD15094"/>
    <w:multiLevelType w:val="hybridMultilevel"/>
    <w:lvl w:ilvl="0">
      <w:lvlJc w:val="left"/>
      <w:lvlText w:val="(%1)"/>
      <w:numFmt w:val="lowerLetter"/>
      <w:start w:val="35"/>
    </w:lvl>
    <w:lvl w:ilvl="1">
      <w:lvlJc w:val="left"/>
      <w:lvlText w:val="(%2)"/>
      <w:numFmt w:val="lowerLetter"/>
      <w:start w:val="2"/>
    </w:lvl>
  </w:abstractNum>
  <w:abstractNum w:abstractNumId="71">
    <w:nsid w:val="3DB012B3"/>
    <w:multiLevelType w:val="hybridMultilevel"/>
    <w:lvl w:ilvl="0">
      <w:lvlJc w:val="left"/>
      <w:lvlText w:val="(%1)"/>
      <w:numFmt w:val="lowerLetter"/>
      <w:start w:val="1"/>
    </w:lvl>
  </w:abstractNum>
  <w:abstractNum w:abstractNumId="72">
    <w:nsid w:val="2708C9AF"/>
    <w:multiLevelType w:val="hybridMultilevel"/>
    <w:lvl w:ilvl="0">
      <w:lvlJc w:val="left"/>
      <w:lvlText w:val="(%1)"/>
      <w:numFmt w:val="lowerLetter"/>
      <w:start w:val="1"/>
    </w:lvl>
  </w:abstractNum>
  <w:abstractNum w:abstractNumId="73">
    <w:nsid w:val="5B25ACE2"/>
    <w:multiLevelType w:val="hybridMultilevel"/>
    <w:lvl w:ilvl="0">
      <w:lvlJc w:val="left"/>
      <w:lvlText w:val="(%1)"/>
      <w:numFmt w:val="lowerLetter"/>
      <w:start w:val="2"/>
    </w:lvl>
  </w:abstractNum>
  <w:abstractNum w:abstractNumId="74">
    <w:nsid w:val="175DFCF0"/>
    <w:multiLevelType w:val="hybridMultilevel"/>
    <w:lvl w:ilvl="0">
      <w:lvlJc w:val="left"/>
      <w:lvlText w:val="(%1)"/>
      <w:numFmt w:val="lowerLetter"/>
      <w:start w:val="7"/>
    </w:lvl>
  </w:abstractNum>
  <w:abstractNum w:abstractNumId="75">
    <w:nsid w:val="4F97E3E4"/>
    <w:multiLevelType w:val="hybridMultilevel"/>
    <w:lvl w:ilvl="0">
      <w:lvlJc w:val="left"/>
      <w:lvlText w:val="(%1)"/>
      <w:numFmt w:val="lowerLetter"/>
      <w:start w:val="1"/>
    </w:lvl>
  </w:abstractNum>
  <w:abstractNum w:abstractNumId="76">
    <w:nsid w:val="53B0A9E"/>
    <w:multiLevelType w:val="hybridMultilevel"/>
    <w:lvl w:ilvl="0">
      <w:lvlJc w:val="left"/>
      <w:lvlText w:val="(%1)"/>
      <w:numFmt w:val="lowerLetter"/>
      <w:start w:val="2"/>
    </w:lvl>
    <w:lvl w:ilvl="1">
      <w:lvlJc w:val="left"/>
      <w:lvlText w:val="(%2)"/>
      <w:numFmt w:val="lowerLetter"/>
      <w:start w:val="1"/>
    </w:lvl>
  </w:abstractNum>
  <w:abstractNum w:abstractNumId="77">
    <w:nsid w:val="34FD6B4F"/>
    <w:multiLevelType w:val="hybridMultilevel"/>
    <w:lvl w:ilvl="0">
      <w:lvlJc w:val="left"/>
      <w:lvlText w:val="(%1)"/>
      <w:numFmt w:val="lowerLetter"/>
      <w:start w:val="2"/>
    </w:lvl>
    <w:lvl w:ilvl="1">
      <w:lvlJc w:val="left"/>
      <w:lvlText w:val="(%2)"/>
      <w:numFmt w:val="lowerRoman"/>
      <w:start w:val="1"/>
    </w:lvl>
  </w:abstractNum>
  <w:abstractNum w:abstractNumId="78">
    <w:nsid w:val="5915FF32"/>
    <w:multiLevelType w:val="hybridMultilevel"/>
    <w:lvl w:ilvl="0">
      <w:lvlJc w:val="left"/>
      <w:lvlText w:val="(%1)"/>
      <w:numFmt w:val="lowerRoman"/>
      <w:start w:val="2"/>
    </w:lvl>
  </w:abstractNum>
  <w:abstractNum w:abstractNumId="79">
    <w:nsid w:val="56438D15"/>
    <w:multiLevelType w:val="hybridMultilevel"/>
    <w:lvl w:ilvl="0">
      <w:lvlJc w:val="left"/>
      <w:lvlText w:val="(%1)"/>
      <w:numFmt w:val="lowerLetter"/>
      <w:start w:val="1"/>
    </w:lvl>
  </w:abstractNum>
  <w:abstractNum w:abstractNumId="80">
    <w:nsid w:val="519E3149"/>
    <w:multiLevelType w:val="hybridMultilevel"/>
    <w:lvl w:ilvl="0">
      <w:lvlJc w:val="left"/>
      <w:lvlText w:val="(%1)"/>
      <w:numFmt w:val="lowerRoman"/>
      <w:start w:val="1"/>
    </w:lvl>
  </w:abstractNum>
  <w:abstractNum w:abstractNumId="81">
    <w:nsid w:val="2C6E4AFD"/>
    <w:multiLevelType w:val="hybridMultilevel"/>
    <w:lvl w:ilvl="0">
      <w:lvlJc w:val="left"/>
      <w:lvlText w:val="(%1)"/>
      <w:numFmt w:val="lowerRoman"/>
      <w:start w:val="11"/>
    </w:lvl>
  </w:abstractNum>
  <w:abstractNum w:abstractNumId="82">
    <w:nsid w:val="17A1B582"/>
    <w:multiLevelType w:val="hybridMultilevel"/>
    <w:lvl w:ilvl="0">
      <w:lvlJc w:val="left"/>
      <w:lvlText w:val="(%1)"/>
      <w:numFmt w:val="lowerLetter"/>
      <w:start w:val="2"/>
    </w:lvl>
  </w:abstractNum>
  <w:abstractNum w:abstractNumId="83">
    <w:nsid w:val="4DF72E4E"/>
    <w:multiLevelType w:val="hybridMultilevel"/>
    <w:lvl w:ilvl="0">
      <w:lvlJc w:val="left"/>
      <w:lvlText w:val="(%1)"/>
      <w:numFmt w:val="lowerLetter"/>
      <w:start w:val="1"/>
    </w:lvl>
  </w:abstractNum>
  <w:abstractNum w:abstractNumId="84">
    <w:nsid w:val="5046B5A9"/>
    <w:multiLevelType w:val="hybridMultilevel"/>
    <w:lvl w:ilvl="0">
      <w:lvlJc w:val="left"/>
      <w:lvlText w:val="(%1)"/>
      <w:numFmt w:val="lowerLetter"/>
      <w:start w:val="3"/>
    </w:lvl>
  </w:abstractNum>
  <w:abstractNum w:abstractNumId="85">
    <w:nsid w:val="5D888A08"/>
    <w:multiLevelType w:val="hybridMultilevel"/>
    <w:lvl w:ilvl="0">
      <w:lvlJc w:val="left"/>
      <w:lvlText w:val="(%1)"/>
      <w:numFmt w:val="lowerLetter"/>
      <w:start w:val="1"/>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lowerLetter"/>
      <w:start w:val="1"/>
    </w:lvl>
    <w:lvl w:ilvl="1">
      <w:lvlJc w:val="left"/>
      <w:lvlText w:val="(%2)"/>
      <w:numFmt w:val="lowerRoman"/>
      <w:start w:val="1"/>
    </w:lvl>
  </w:abstractNum>
  <w:abstractNum w:abstractNumId="88">
    <w:nsid w:val="19E21BB2"/>
    <w:multiLevelType w:val="hybridMultilevel"/>
    <w:lvl w:ilvl="0">
      <w:lvlJc w:val="left"/>
      <w:lvlText w:val="(%1)"/>
      <w:numFmt w:val="lowerLetter"/>
      <w:start w:val="2"/>
    </w:lvl>
    <w:lvl w:ilvl="1">
      <w:lvlJc w:val="left"/>
      <w:lvlText w:val="%2"/>
      <w:numFmt w:val="lowerRoman"/>
      <w:start w:val="1"/>
    </w:lvl>
  </w:abstractNum>
  <w:abstractNum w:abstractNumId="89">
    <w:nsid w:val="75E0858A"/>
    <w:multiLevelType w:val="hybridMultilevel"/>
    <w:lvl w:ilvl="0">
      <w:lvlJc w:val="left"/>
      <w:lvlText w:val="(%1)"/>
      <w:numFmt w:val="lowerLetter"/>
      <w:start w:val="1"/>
    </w:lvl>
  </w:abstractNum>
  <w:abstractNum w:abstractNumId="90">
    <w:nsid w:val="57A61A29"/>
    <w:multiLevelType w:val="hybridMultilevel"/>
    <w:lvl w:ilvl="0">
      <w:lvlJc w:val="left"/>
      <w:lvlText w:val="(%1)"/>
      <w:numFmt w:val="lowerLetter"/>
      <w:start w:val="2"/>
    </w:lvl>
  </w:abstractNum>
  <w:abstractNum w:abstractNumId="91">
    <w:nsid w:val="5399C654"/>
    <w:multiLevelType w:val="hybridMultilevel"/>
    <w:lvl w:ilvl="0">
      <w:lvlJc w:val="left"/>
      <w:lvlText w:val="(%1)"/>
      <w:numFmt w:val="lowerLetter"/>
      <w:start w:val="1"/>
    </w:lvl>
  </w:abstractNum>
  <w:abstractNum w:abstractNumId="92">
    <w:nsid w:val="20EE1348"/>
    <w:multiLevelType w:val="hybridMultilevel"/>
    <w:lvl w:ilvl="0">
      <w:lvlJc w:val="left"/>
      <w:lvlText w:val="(%1)"/>
      <w:numFmt w:val="lowerLetter"/>
      <w:start w:val="2"/>
    </w:lvl>
  </w:abstractNum>
  <w:abstractNum w:abstractNumId="93">
    <w:nsid w:val="4427069A"/>
    <w:multiLevelType w:val="hybridMultilevel"/>
    <w:lvl w:ilvl="0">
      <w:lvlJc w:val="left"/>
      <w:lvlText w:val="(%1)"/>
      <w:numFmt w:val="lowerLetter"/>
      <w:start w:val="1"/>
    </w:lvl>
  </w:abstractNum>
  <w:abstractNum w:abstractNumId="94">
    <w:nsid w:val="B37E80A"/>
    <w:multiLevelType w:val="hybridMultilevel"/>
    <w:lvl w:ilvl="0">
      <w:lvlJc w:val="left"/>
      <w:lvlText w:val="(%1)"/>
      <w:numFmt w:val="lowerLetter"/>
      <w:start w:val="1"/>
    </w:lvl>
    <w:lvl w:ilvl="1">
      <w:lvlJc w:val="left"/>
      <w:lvlText w:val="(%2)"/>
      <w:numFmt w:val="lowerRoman"/>
      <w:start w:val="1"/>
    </w:lvl>
  </w:abstractNum>
  <w:abstractNum w:abstractNumId="95">
    <w:nsid w:val="2157F6BC"/>
    <w:multiLevelType w:val="hybridMultilevel"/>
    <w:lvl w:ilvl="0">
      <w:lvlJc w:val="left"/>
      <w:lvlText w:val="%1"/>
      <w:numFmt w:val="decimal"/>
      <w:start w:val="1"/>
    </w:lvl>
    <w:lvl w:ilvl="1">
      <w:lvlJc w:val="left"/>
      <w:lvlText w:val="(%2)"/>
      <w:numFmt w:val="lowerRoman"/>
      <w:start w:val="4"/>
    </w:lvl>
  </w:abstractNum>
  <w:abstractNum w:abstractNumId="96">
    <w:nsid w:val="704E1DD5"/>
    <w:multiLevelType w:val="hybridMultilevel"/>
    <w:lvl w:ilvl="0">
      <w:lvlJc w:val="left"/>
      <w:lvlText w:val="(%1)"/>
      <w:numFmt w:val="decimal"/>
      <w:start w:val="5"/>
    </w:lvl>
    <w:lvl w:ilvl="1">
      <w:lvlJc w:val="left"/>
      <w:lvlText w:val="(%2)"/>
      <w:numFmt w:val="lowerRoman"/>
      <w:start w:val="5"/>
    </w:lvl>
  </w:abstractNum>
  <w:abstractNum w:abstractNumId="97">
    <w:nsid w:val="57D2F10E"/>
    <w:multiLevelType w:val="hybridMultilevel"/>
    <w:lvl w:ilvl="0">
      <w:lvlJc w:val="left"/>
      <w:lvlText w:val="(%1)"/>
      <w:numFmt w:val="lowerRoman"/>
      <w:start w:val="10"/>
    </w:lvl>
  </w:abstractNum>
  <w:abstractNum w:abstractNumId="98">
    <w:nsid w:val="BFFAE18"/>
    <w:multiLevelType w:val="hybridMultilevel"/>
    <w:lvl w:ilvl="0">
      <w:lvlJc w:val="left"/>
      <w:lvlText w:val="%1"/>
      <w:numFmt w:val="upperLetter"/>
      <w:start w:val="1"/>
    </w:lvl>
    <w:lvl w:ilvl="1">
      <w:lvlJc w:val="left"/>
      <w:lvlText w:val="(%2)"/>
      <w:numFmt w:val="lowerLetter"/>
      <w:start w:val="1"/>
    </w:lvl>
  </w:abstractNum>
  <w:abstractNum w:abstractNumId="99">
    <w:nsid w:val="E3E47A8"/>
    <w:multiLevelType w:val="hybridMultilevel"/>
    <w:lvl w:ilvl="0">
      <w:lvlJc w:val="left"/>
      <w:lvlText w:val="(%1)"/>
      <w:numFmt w:val="upperLetter"/>
      <w:start w:val="1"/>
    </w:lvl>
    <w:lvl w:ilvl="1">
      <w:lvlJc w:val="left"/>
      <w:lvlText w:val="%2"/>
      <w:numFmt w:val="lowerLetter"/>
      <w:start w:val="1"/>
    </w:lvl>
  </w:abstractNum>
  <w:abstractNum w:abstractNumId="100">
    <w:nsid w:val="2E48F044"/>
    <w:multiLevelType w:val="hybridMultilevel"/>
    <w:lvl w:ilvl="0">
      <w:lvlJc w:val="left"/>
      <w:lvlText w:val="(%1)"/>
      <w:numFmt w:val="lowerLetter"/>
      <w:start w:val="2"/>
    </w:lvl>
  </w:abstractNum>
  <w:abstractNum w:abstractNumId="101">
    <w:nsid w:val="49D0FEAC"/>
    <w:multiLevelType w:val="hybridMultilevel"/>
    <w:lvl w:ilvl="0">
      <w:lvlJc w:val="left"/>
      <w:lvlText w:val="(%1)"/>
      <w:numFmt w:val="lowerLetter"/>
      <w:start w:val="1"/>
    </w:lvl>
  </w:abstractNum>
  <w:abstractNum w:abstractNumId="102">
    <w:nsid w:val="4BEE5A5B"/>
    <w:multiLevelType w:val="hybridMultilevel"/>
    <w:lvl w:ilvl="0">
      <w:lvlJc w:val="left"/>
      <w:lvlText w:val="(%1)"/>
      <w:numFmt w:val="lowerLetter"/>
      <w:start w:val="3"/>
    </w:lvl>
  </w:abstractNum>
  <w:abstractNum w:abstractNumId="103">
    <w:nsid w:val="5551B9F3"/>
    <w:multiLevelType w:val="hybridMultilevel"/>
    <w:lvl w:ilvl="0">
      <w:lvlJc w:val="left"/>
      <w:lvlText w:val="(%1)"/>
      <w:numFmt w:val="lowerLetter"/>
      <w:start w:val="7"/>
    </w:lvl>
  </w:abstractNum>
  <w:abstractNum w:abstractNumId="104">
    <w:nsid w:val="24F6AB8E"/>
    <w:multiLevelType w:val="hybridMultilevel"/>
    <w:lvl w:ilvl="0">
      <w:lvlJc w:val="left"/>
      <w:lvlText w:val="(%1)"/>
      <w:numFmt w:val="lowerLetter"/>
      <w:start w:val="10"/>
    </w:lvl>
  </w:abstractNum>
  <w:abstractNum w:abstractNumId="105">
    <w:nsid w:val="634C574C"/>
    <w:multiLevelType w:val="hybridMultilevel"/>
    <w:lvl w:ilvl="0">
      <w:lvlJc w:val="left"/>
      <w:lvlText w:val="%1"/>
      <w:numFmt w:val="lowerLetter"/>
      <w:start w:val="1"/>
    </w:lvl>
    <w:lvl w:ilvl="1">
      <w:lvlJc w:val="left"/>
      <w:lvlText w:val="(%2)"/>
      <w:numFmt w:val="lowerLetter"/>
      <w:start w:val="1"/>
    </w:lvl>
  </w:abstractNum>
  <w:abstractNum w:abstractNumId="106">
    <w:nsid w:val="24E99DD7"/>
    <w:multiLevelType w:val="hybridMultilevel"/>
    <w:lvl w:ilvl="0">
      <w:lvlJc w:val="left"/>
      <w:lvlText w:val="(%1)"/>
      <w:numFmt w:val="lowerLetter"/>
      <w:start w:val="9"/>
    </w:lvl>
    <w:lvl w:ilvl="1">
      <w:lvlJc w:val="left"/>
      <w:lvlText w:val="%2"/>
      <w:numFmt w:val="lowerLetter"/>
      <w:start w:val="1"/>
    </w:lvl>
  </w:abstractNum>
  <w:abstractNum w:abstractNumId="107">
    <w:nsid w:val="2A31B62D"/>
    <w:multiLevelType w:val="hybridMultilevel"/>
    <w:lvl w:ilvl="0">
      <w:lvlJc w:val="left"/>
      <w:lvlText w:val="(%1)"/>
      <w:numFmt w:val="lowerLetter"/>
      <w:start w:val="2"/>
    </w:lvl>
    <w:lvl w:ilvl="1">
      <w:lvlJc w:val="left"/>
      <w:lvlText w:val="(%2)"/>
      <w:numFmt w:val="lowerRoman"/>
      <w:start w:val="1"/>
    </w:lvl>
  </w:abstractNum>
  <w:abstractNum w:abstractNumId="108">
    <w:nsid w:val="1849C29B"/>
    <w:multiLevelType w:val="hybridMultilevel"/>
    <w:lvl w:ilvl="0">
      <w:lvlJc w:val="left"/>
      <w:lvlText w:val="(%1)"/>
      <w:numFmt w:val="lowerLetter"/>
      <w:start w:val="5"/>
    </w:lvl>
  </w:abstractNum>
  <w:abstractNum w:abstractNumId="109">
    <w:nsid w:val="7DFF9D0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10">
    <w:nsid w:val="754342"/>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11">
    <w:nsid w:val="69E7F3E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12">
    <w:nsid w:val="2A6DE806"/>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13">
    <w:nsid w:val="1816F8C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3"/>
    </w:lvl>
  </w:abstractNum>
  <w:abstractNum w:abstractNumId="116">
    <w:nsid w:val="759F82CD"/>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17">
    <w:nsid w:val="61E74EA3"/>
    <w:multiLevelType w:val="hybridMultilevel"/>
    <w:lvl w:ilvl="0">
      <w:lvlJc w:val="left"/>
      <w:lvlText w:val="%1"/>
      <w:numFmt w:val="lowerLetter"/>
      <w:start w:val="1"/>
    </w:lvl>
    <w:lvl w:ilvl="1">
      <w:lvlJc w:val="left"/>
      <w:lvlText w:val="(%2)"/>
      <w:numFmt w:val="upperLetter"/>
      <w:start w:val="5"/>
    </w:lvl>
  </w:abstractNum>
  <w:abstractNum w:abstractNumId="118">
    <w:nsid w:val="597B4D84"/>
    <w:multiLevelType w:val="hybridMultilevel"/>
    <w:lvl w:ilvl="0">
      <w:lvlJc w:val="left"/>
      <w:lvlText w:val="(%1)"/>
      <w:numFmt w:val="lowerLetter"/>
      <w:start w:val="7"/>
    </w:lvl>
    <w:lvl w:ilvl="1">
      <w:lvlJc w:val="left"/>
      <w:lvlText w:val="%2"/>
      <w:numFmt w:val="upperLetter"/>
      <w:start w:val="1"/>
    </w:lvl>
  </w:abstractNum>
  <w:abstractNum w:abstractNumId="119">
    <w:nsid w:val="F819E7F"/>
    <w:multiLevelType w:val="hybridMultilevel"/>
    <w:lvl w:ilvl="0">
      <w:lvlJc w:val="left"/>
      <w:lvlText w:val="(%1)"/>
      <w:numFmt w:val="lowerLetter"/>
      <w:start w:val="10"/>
    </w:lvl>
  </w:abstractNum>
  <w:abstractNum w:abstractNumId="120">
    <w:nsid w:val="57C7D42D"/>
    <w:multiLevelType w:val="hybridMultilevel"/>
    <w:lvl w:ilvl="0">
      <w:lvlJc w:val="left"/>
      <w:lvlText w:val="(%1)"/>
      <w:numFmt w:val="lowerLetter"/>
      <w:start w:val="1"/>
    </w:lvl>
  </w:abstractNum>
  <w:abstractNum w:abstractNumId="121">
    <w:nsid w:val="312167AD"/>
    <w:multiLevelType w:val="hybridMultilevel"/>
    <w:lvl w:ilvl="0">
      <w:lvlJc w:val="left"/>
      <w:lvlText w:val="(%1)"/>
      <w:numFmt w:val="lowerLetter"/>
      <w:start w:val="1"/>
    </w:lvl>
  </w:abstractNum>
  <w:abstractNum w:abstractNumId="122">
    <w:nsid w:val="631B64D4"/>
    <w:multiLevelType w:val="hybridMultilevel"/>
    <w:lvl w:ilvl="0">
      <w:lvlJc w:val="left"/>
      <w:lvlText w:val="(%1)"/>
      <w:numFmt w:val="lowerLetter"/>
      <w:start w:val="2"/>
    </w:lvl>
  </w:abstractNum>
  <w:abstractNum w:abstractNumId="123">
    <w:nsid w:val="78B5E776"/>
    <w:multiLevelType w:val="hybridMultilevel"/>
    <w:lvl w:ilvl="0">
      <w:lvlJc w:val="left"/>
      <w:lvlText w:val="(%1)"/>
      <w:numFmt w:val="lowerRoman"/>
      <w:start w:val="1"/>
    </w:lvl>
  </w:abstractNum>
  <w:abstractNum w:abstractNumId="124">
    <w:nsid w:val="75486E47"/>
    <w:multiLevelType w:val="hybridMultilevel"/>
    <w:lvl w:ilvl="0">
      <w:lvlJc w:val="left"/>
      <w:lvlText w:val="(%1)"/>
      <w:numFmt w:val="lowerLetter"/>
      <w:start w:val="1"/>
    </w:lvl>
  </w:abstractNum>
  <w:abstractNum w:abstractNumId="125">
    <w:nsid w:val="6E534CDE"/>
    <w:multiLevelType w:val="hybridMultilevel"/>
    <w:lvl w:ilvl="0">
      <w:lvlJc w:val="left"/>
      <w:lvlText w:val="(%1)"/>
      <w:numFmt w:val="lowerLetter"/>
      <w:start w:val="4"/>
    </w:lvl>
  </w:abstractNum>
  <w:abstractNum w:abstractNumId="126">
    <w:nsid w:val="1A0DDE32"/>
    <w:multiLevelType w:val="hybridMultilevel"/>
    <w:lvl w:ilvl="0">
      <w:lvlJc w:val="left"/>
      <w:lvlText w:val="(%1)"/>
      <w:numFmt w:val="lowerLetter"/>
      <w:start w:val="1"/>
    </w:lvl>
  </w:abstractNum>
  <w:abstractNum w:abstractNumId="127">
    <w:nsid w:val="65968C1C"/>
    <w:multiLevelType w:val="hybridMultilevel"/>
    <w:lvl w:ilvl="0">
      <w:lvlJc w:val="left"/>
      <w:lvlText w:val="(%1)"/>
      <w:numFmt w:val="lowerLetter"/>
      <w:start w:val="1"/>
    </w:lvl>
  </w:abstractNum>
  <w:abstractNum w:abstractNumId="128">
    <w:nsid w:val="46263DEC"/>
    <w:multiLevelType w:val="hybridMultilevel"/>
    <w:lvl w:ilvl="0">
      <w:lvlJc w:val="left"/>
      <w:lvlText w:val="(%1)"/>
      <w:numFmt w:val="lowerLetter"/>
      <w:start w:val="2"/>
    </w:lvl>
  </w:abstractNum>
  <w:abstractNum w:abstractNumId="129">
    <w:nsid w:val="260D8C4A"/>
    <w:multiLevelType w:val="hybridMultilevel"/>
    <w:lvl w:ilvl="0">
      <w:lvlJc w:val="left"/>
      <w:lvlText w:val="(%1)"/>
      <w:numFmt w:val="lowerLetter"/>
      <w:start w:val="1"/>
    </w:lvl>
  </w:abstractNum>
  <w:abstractNum w:abstractNumId="130">
    <w:nsid w:val="73D4D3C4"/>
    <w:multiLevelType w:val="hybridMultilevel"/>
    <w:lvl w:ilvl="0">
      <w:lvlJc w:val="left"/>
      <w:lvlText w:val="(%1)"/>
      <w:numFmt w:val="lowerLetter"/>
      <w:start w:val="1"/>
    </w:lvl>
  </w:abstractNum>
  <w:abstractNum w:abstractNumId="131">
    <w:nsid w:val="746F2E30"/>
    <w:multiLevelType w:val="hybridMultilevel"/>
    <w:lvl w:ilvl="0">
      <w:lvlJc w:val="left"/>
      <w:lvlText w:val="(%1)"/>
      <w:numFmt w:val="lowerLetter"/>
      <w:start w:val="5"/>
    </w:lvl>
  </w:abstractNum>
  <w:abstractNum w:abstractNumId="132">
    <w:nsid w:val="6FDE8AF6"/>
    <w:multiLevelType w:val="hybridMultilevel"/>
    <w:lvl w:ilvl="0">
      <w:lvlJc w:val="left"/>
      <w:lvlText w:val="(%1)"/>
      <w:numFmt w:val="lowerLetter"/>
      <w:start w:val="1"/>
    </w:lvl>
    <w:lvl w:ilvl="1">
      <w:lvlJc w:val="left"/>
      <w:lvlText w:val="(%2)"/>
      <w:numFmt w:val="lowerRoman"/>
      <w:start w:val="1"/>
    </w:lvl>
  </w:abstractNum>
  <w:abstractNum w:abstractNumId="133">
    <w:nsid w:val="3FC32E20"/>
    <w:multiLevelType w:val="hybridMultilevel"/>
    <w:lvl w:ilvl="0">
      <w:lvlJc w:val="left"/>
      <w:lvlText w:val="(%1)"/>
      <w:numFmt w:val="lowerLetter"/>
      <w:start w:val="3"/>
    </w:lvl>
  </w:abstractNum>
  <w:abstractNum w:abstractNumId="134">
    <w:nsid w:val="49C0E823"/>
    <w:multiLevelType w:val="hybridMultilevel"/>
    <w:lvl w:ilvl="0">
      <w:lvlJc w:val="left"/>
      <w:lvlText w:val="(%1)"/>
      <w:numFmt w:val="lowerLetter"/>
      <w:start w:val="1"/>
    </w:lvl>
  </w:abstractNum>
  <w:abstractNum w:abstractNumId="135">
    <w:nsid w:val="14D53685"/>
    <w:multiLevelType w:val="hybridMultilevel"/>
    <w:lvl w:ilvl="0">
      <w:lvlJc w:val="left"/>
      <w:lvlText w:val="(%1)"/>
      <w:numFmt w:val="lowerLetter"/>
      <w:start w:val="2"/>
    </w:lvl>
  </w:abstractNum>
  <w:abstractNum w:abstractNumId="136">
    <w:nsid w:val="230F856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7">
    <w:nsid w:val="6EAA85F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138">
    <w:nsid w:val="3F06ECB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9">
    <w:nsid w:val="3B594807"/>
    <w:multiLevelType w:val="hybridMultilevel"/>
    <w:lvl w:ilvl="0">
      <w:lvlJc w:val="left"/>
      <w:lvlText w:val="(%1)"/>
      <w:numFmt w:val="lowerLetter"/>
      <w:start w:val="4"/>
    </w:lvl>
  </w:abstractNum>
  <w:abstractNum w:abstractNumId="140">
    <w:nsid w:val="6CAA230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1">
    <w:nsid w:val="3F7C2FF4"/>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142">
    <w:nsid w:val="25413BEC"/>
    <w:multiLevelType w:val="hybridMultilevel"/>
    <w:lvl w:ilvl="0">
      <w:lvlJc w:val="left"/>
      <w:lvlText w:val="(%1)"/>
      <w:numFmt w:val="lowerLetter"/>
      <w:start w:val="1"/>
    </w:lvl>
  </w:abstractNum>
  <w:abstractNum w:abstractNumId="143">
    <w:nsid w:val="17180B0B"/>
    <w:multiLevelType w:val="hybridMultilevel"/>
    <w:lvl w:ilvl="0">
      <w:lvlJc w:val="left"/>
      <w:lvlText w:val="(%1)"/>
      <w:numFmt w:val="lowerLetter"/>
      <w:start w:val="2"/>
    </w:lvl>
  </w:abstractNum>
  <w:abstractNum w:abstractNumId="144">
    <w:nsid w:val="579328B9"/>
    <w:multiLevelType w:val="hybridMultilevel"/>
    <w:lvl w:ilvl="0">
      <w:lvlJc w:val="left"/>
      <w:lvlText w:val="(%1)"/>
      <w:numFmt w:val="lowerLetter"/>
      <w:start w:val="1"/>
    </w:lvl>
  </w:abstractNum>
  <w:abstractNum w:abstractNumId="145">
    <w:nsid w:val="5D205E20"/>
    <w:multiLevelType w:val="hybridMultilevel"/>
    <w:lvl w:ilvl="0">
      <w:lvlJc w:val="left"/>
      <w:lvlText w:val="%1"/>
      <w:numFmt w:val="lowerLetter"/>
      <w:start w:val="1"/>
    </w:lvl>
    <w:lvl w:ilvl="1">
      <w:lvlJc w:val="left"/>
      <w:lvlText w:val="(%2)"/>
      <w:numFmt w:val="lowerRoman"/>
      <w:start w:val="1"/>
    </w:lvl>
  </w:abstractNum>
  <w:abstractNum w:abstractNumId="146">
    <w:nsid w:val="11CCA8BA"/>
    <w:multiLevelType w:val="hybridMultilevel"/>
    <w:lvl w:ilvl="0">
      <w:lvlJc w:val="left"/>
      <w:lvlText w:val="(%1)"/>
      <w:numFmt w:val="lowerLetter"/>
      <w:start w:val="2"/>
    </w:lvl>
    <w:lvl w:ilvl="1">
      <w:lvlJc w:val="left"/>
      <w:lvlText w:val="(%2)"/>
      <w:numFmt w:val="lowerRoman"/>
      <w:start w:val="1"/>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lowerLetter"/>
      <w:start w:val="1"/>
    </w:lvl>
  </w:abstractNum>
  <w:abstractNum w:abstractNumId="149">
    <w:nsid w:val="6B47F63E"/>
    <w:multiLevelType w:val="hybridMultilevel"/>
    <w:lvl w:ilvl="0">
      <w:lvlJc w:val="left"/>
      <w:lvlText w:val="(%1)"/>
      <w:numFmt w:val="lowerLetter"/>
      <w:start w:val="1"/>
    </w:lvl>
  </w:abstractNum>
  <w:abstractNum w:abstractNumId="150">
    <w:nsid w:val="5CB44A05"/>
    <w:multiLevelType w:val="hybridMultilevel"/>
    <w:lvl w:ilvl="0">
      <w:lvlJc w:val="left"/>
      <w:lvlText w:val="(%1)"/>
      <w:numFmt w:val="lowerLetter"/>
      <w:start w:val="1"/>
    </w:lvl>
  </w:abstractNum>
  <w:abstractNum w:abstractNumId="151">
    <w:nsid w:val="16CF80F1"/>
    <w:multiLevelType w:val="hybridMultilevel"/>
    <w:lvl w:ilvl="0">
      <w:lvlJc w:val="left"/>
      <w:lvlText w:val="(%1)"/>
      <w:numFmt w:val="lowerLetter"/>
      <w:start w:val="5"/>
    </w:lvl>
  </w:abstractNum>
  <w:abstractNum w:abstractNumId="152">
    <w:nsid w:val="1C695DEC"/>
    <w:multiLevelType w:val="hybridMultilevel"/>
    <w:lvl w:ilvl="0">
      <w:lvlJc w:val="left"/>
      <w:lvlText w:val="(%1)"/>
      <w:numFmt w:val="lowerLetter"/>
      <w:start w:val="1"/>
    </w:lvl>
  </w:abstractNum>
  <w:abstractNum w:abstractNumId="153">
    <w:nsid w:val="3FCFAED9"/>
    <w:multiLevelType w:val="hybridMultilevel"/>
    <w:lvl w:ilvl="0">
      <w:lvlJc w:val="left"/>
      <w:lvlText w:val="(%1)"/>
      <w:numFmt w:val="lowerLetter"/>
      <w:start w:val="2"/>
    </w:lvl>
  </w:abstractNum>
  <w:abstractNum w:abstractNumId="154">
    <w:nsid w:val="F856867"/>
    <w:multiLevelType w:val="hybridMultilevel"/>
    <w:lvl w:ilvl="0">
      <w:lvlJc w:val="left"/>
      <w:lvlText w:val="(%1)"/>
      <w:numFmt w:val="lowerLetter"/>
      <w:start w:val="3"/>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lowerLetter"/>
      <w:start w:val="1"/>
    </w:lvl>
  </w:abstractNum>
  <w:abstractNum w:abstractNumId="157">
    <w:nsid w:val="29934699"/>
    <w:multiLevelType w:val="hybridMultilevel"/>
    <w:lvl w:ilvl="0">
      <w:lvlJc w:val="left"/>
      <w:lvlText w:val="(%1)"/>
      <w:numFmt w:val="lowerLetter"/>
      <w:start w:val="1"/>
    </w:lvl>
  </w:abstractNum>
  <w:abstractNum w:abstractNumId="158">
    <w:nsid w:val="77485850"/>
    <w:multiLevelType w:val="hybridMultilevel"/>
    <w:lvl w:ilvl="0">
      <w:lvlJc w:val="left"/>
      <w:lvlText w:val="(%1)"/>
      <w:numFmt w:val="lowerLetter"/>
      <w:start w:val="1"/>
    </w:lvl>
  </w:abstractNum>
  <w:abstractNum w:abstractNumId="159">
    <w:nsid w:val="744939A3"/>
    <w:multiLevelType w:val="hybridMultilevel"/>
    <w:lvl w:ilvl="0">
      <w:lvlJc w:val="left"/>
      <w:lvlText w:val="(%1)"/>
      <w:numFmt w:val="lowerLetter"/>
      <w:start w:val="2"/>
    </w:lvl>
  </w:abstractNum>
  <w:abstractNum w:abstractNumId="160">
    <w:nsid w:val="4FA0D2E3"/>
    <w:multiLevelType w:val="hybridMultilevel"/>
    <w:lvl w:ilvl="0">
      <w:lvlJc w:val="left"/>
      <w:lvlText w:val="(%1)"/>
      <w:numFmt w:val="lowerLetter"/>
      <w:start w:val="1"/>
    </w:lvl>
  </w:abstractNum>
  <w:abstractNum w:abstractNumId="161">
    <w:nsid w:val="6B1D2C14"/>
    <w:multiLevelType w:val="hybridMultilevel"/>
    <w:lvl w:ilvl="0">
      <w:lvlJc w:val="left"/>
      <w:lvlText w:val="(%1)"/>
      <w:numFmt w:val="lowerLetter"/>
      <w:start w:val="4"/>
    </w:lvl>
  </w:abstractNum>
  <w:abstractNum w:abstractNumId="162">
    <w:nsid w:val="68B867D3"/>
    <w:multiLevelType w:val="hybridMultilevel"/>
    <w:lvl w:ilvl="0">
      <w:lvlJc w:val="left"/>
      <w:lvlText w:val="(%1)"/>
      <w:numFmt w:val="lowerLetter"/>
      <w:start w:val="1"/>
    </w:lvl>
  </w:abstractNum>
  <w:abstractNum w:abstractNumId="163">
    <w:nsid w:val="3F7F5DD9"/>
    <w:multiLevelType w:val="hybridMultilevel"/>
    <w:lvl w:ilvl="0">
      <w:lvlJc w:val="left"/>
      <w:lvlText w:val="(%1)"/>
      <w:numFmt w:val="lowerLetter"/>
      <w:start w:val="1"/>
    </w:lvl>
  </w:abstractNum>
  <w:abstractNum w:abstractNumId="164">
    <w:nsid w:val="2AE05A34"/>
    <w:multiLevelType w:val="hybridMultilevel"/>
    <w:lvl w:ilvl="0">
      <w:lvlJc w:val="left"/>
      <w:lvlText w:val="(%1)"/>
      <w:numFmt w:val="lowerLetter"/>
      <w:start w:val="61"/>
    </w:lvl>
    <w:lvl w:ilvl="1">
      <w:lvlJc w:val="left"/>
      <w:lvlText w:val="(%2)"/>
      <w:numFmt w:val="lowerLetter"/>
      <w:start w:val="2"/>
    </w:lvl>
  </w:abstractNum>
  <w:abstractNum w:abstractNumId="165">
    <w:nsid w:val="32794FF7"/>
    <w:multiLevelType w:val="hybridMultilevel"/>
    <w:lvl w:ilvl="0">
      <w:lvlJc w:val="left"/>
      <w:lvlText w:val="(%1)"/>
      <w:numFmt w:val="lowerLetter"/>
      <w:start w:val="1"/>
    </w:lvl>
  </w:abstractNum>
  <w:abstractNum w:abstractNumId="166">
    <w:nsid w:val="5454945E"/>
    <w:multiLevelType w:val="hybridMultilevel"/>
    <w:lvl w:ilvl="0">
      <w:lvlJc w:val="left"/>
      <w:lvlText w:val="(%1)"/>
      <w:numFmt w:val="upperLetter"/>
      <w:start w:val="1"/>
    </w:lvl>
    <w:lvl w:ilvl="1">
      <w:lvlJc w:val="left"/>
      <w:lvlText w:val="(%2)"/>
      <w:numFmt w:val="lowerLetter"/>
      <w:start w:val="2"/>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decimal"/>
      <w:start w:val="1"/>
    </w:lvl>
    <w:lvl w:ilvl="1">
      <w:lvlJc w:val="left"/>
      <w:lvlText w:val="%2."/>
      <w:numFmt w:val="lowerLetter"/>
      <w:start w:val="1"/>
    </w:lvl>
  </w:abstractNum>
  <w:abstractNum w:abstractNumId="169">
    <w:nsid w:val="135B8110"/>
    <w:multiLevelType w:val="hybridMultilevel"/>
    <w:lvl w:ilvl="0">
      <w:lvlJc w:val="left"/>
      <w:lvlText w:val="(%1)"/>
      <w:numFmt w:val="lowerRoman"/>
      <w:start w:val="1"/>
    </w:lvl>
  </w:abstractNum>
  <w:abstractNum w:abstractNumId="170">
    <w:nsid w:val="94927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jpeg"/><Relationship Id="rId148" Type="http://schemas.openxmlformats.org/officeDocument/2006/relationships/image" Target="media/image138.jpe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33" Type="http://schemas.openxmlformats.org/officeDocument/2006/relationships/hyperlink" Target="https://www.sec.gov/Archives/edgar/data/106040/000095013706001502/a17011exv3w1.htm" TargetMode="External"/><Relationship Id="rId134" Type="http://schemas.openxmlformats.org/officeDocument/2006/relationships/hyperlink" Target="https://www.sec.gov/Archives/edgar/data/106040/000119312523020502/d425756dex31.htm" TargetMode="External"/><Relationship Id="rId135" Type="http://schemas.openxmlformats.org/officeDocument/2006/relationships/hyperlink" Target="https://www.sec.gov/Archives/edgar/data/106040/000119312521041457/d12820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2024-04-30T05:18:47Z</dcterms:created>
  <dcterms:modified xsi:type="dcterms:W3CDTF">2024-04-30T05:18:47Z</dcterms:modified>
</cp:coreProperties>
</file>