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29, 2023</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84"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390525</wp:posOffset>
            </wp:positionV>
            <wp:extent cx="2966085" cy="98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ectPr>
          <w:pgSz w:w="11900" w:h="16838" w:orient="portrait"/>
          <w:cols w:equalWidth="0" w:num="1">
            <w:col w:w="11180"/>
          </w:cols>
          <w:pgMar w:left="320" w:top="1037" w:right="3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4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920"/>
          </w:cols>
          <w:pgMar w:left="320" w:top="1037" w:right="399" w:bottom="1440" w:gutter="0" w:footer="0" w:header="0"/>
          <w:type w:val="continuous"/>
        </w:sectPr>
      </w:pPr>
    </w:p>
    <w:p>
      <w:pPr>
        <w:ind w:left="800"/>
        <w:spacing w:after="0"/>
        <w:tabs>
          <w:tab w:leader="none" w:pos="2780" w:val="left"/>
          <w:tab w:leader="none" w:pos="3620" w:val="left"/>
          <w:tab w:leader="none" w:pos="854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4"/>
          <w:szCs w:val="14"/>
          <w:b w:val="1"/>
          <w:bCs w:val="1"/>
          <w:color w:val="auto"/>
        </w:rPr>
        <w:t>95119</w:t>
      </w:r>
    </w:p>
    <w:p>
      <w:pPr>
        <w:spacing w:after="0" w:line="46"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2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type w:val="continuous"/>
        </w:sectPr>
      </w:pPr>
    </w:p>
    <w:bookmarkStart w:id="1" w:name="page2"/>
    <w:bookmarkEnd w:id="1"/>
    <w:p>
      <w:pPr>
        <w:ind w:firstLine="324"/>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048" w:right="45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820"/>
          </w:cols>
          <w:pgMar w:left="320" w:top="1048" w:right="45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1100"/>
          </w:cols>
          <w:pgMar w:left="320" w:top="1048" w:right="459" w:bottom="1440" w:gutter="0" w:footer="0" w:header="0"/>
          <w:type w:val="continuous"/>
        </w:sectPr>
      </w:pPr>
    </w:p>
    <w:p>
      <w:pPr>
        <w:spacing w:after="0" w:line="106" w:lineRule="exact"/>
        <w:rPr>
          <w:sz w:val="20"/>
          <w:szCs w:val="20"/>
          <w:color w:val="auto"/>
        </w:rPr>
      </w:pPr>
    </w:p>
    <w:p>
      <w:pPr>
        <w:ind w:right="1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January 24, 2024, 325,859,745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8"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894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94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 As of December 29, 2023 and June 30, 2023</w:t>
            </w:r>
          </w:p>
        </w:tc>
        <w:tc>
          <w:tcPr>
            <w:tcW w:w="820" w:type="dxa"/>
            <w:vAlign w:val="bottom"/>
            <w:gridSpan w:val="2"/>
          </w:tcPr>
          <w:p>
            <w:pPr>
              <w:jc w:val="center"/>
              <w:ind w:left="530"/>
              <w:spacing w:after="0" w:line="189" w:lineRule="exact"/>
              <w:rPr>
                <w:sz w:val="20"/>
                <w:szCs w:val="20"/>
                <w:color w:val="auto"/>
              </w:rPr>
            </w:pPr>
            <w:r>
              <w:rPr>
                <w:rFonts w:ascii="Times New Roman" w:cs="Times New Roman" w:eastAsia="Times New Roman" w:hAnsi="Times New Roman"/>
                <w:sz w:val="18"/>
                <w:szCs w:val="18"/>
                <w:color w:val="3635D6"/>
                <w:w w:val="88"/>
              </w:rPr>
              <w:t>6</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shd w:val="clear" w:color="auto" w:fill="CCEEFF"/>
          </w:tcPr>
          <w:p>
            <w:pPr>
              <w:spacing w:after="0"/>
              <w:rPr>
                <w:sz w:val="15"/>
                <w:szCs w:val="15"/>
                <w:color w:val="auto"/>
              </w:rPr>
            </w:pPr>
          </w:p>
        </w:tc>
        <w:tc>
          <w:tcPr>
            <w:tcW w:w="89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 Three and Six Months Ended December 29, 2023 and</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December 30, 2022</w:t>
            </w:r>
          </w:p>
        </w:tc>
        <w:tc>
          <w:tcPr>
            <w:tcW w:w="820" w:type="dxa"/>
            <w:vAlign w:val="bottom"/>
            <w:tcBorders>
              <w:right w:val="single" w:sz="8" w:color="CCEEFF"/>
            </w:tcBorders>
            <w:gridSpan w:val="2"/>
            <w:shd w:val="clear" w:color="auto" w:fill="CCEEFF"/>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7</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 w:type="dxa"/>
            <w:vAlign w:val="bottom"/>
            <w:tcBorders>
              <w:top w:val="single" w:sz="8" w:color="CCEEFF"/>
            </w:tcBorders>
          </w:tcPr>
          <w:p>
            <w:pPr>
              <w:spacing w:after="0"/>
              <w:rPr>
                <w:sz w:val="15"/>
                <w:szCs w:val="15"/>
                <w:color w:val="auto"/>
              </w:rPr>
            </w:pPr>
          </w:p>
        </w:tc>
        <w:tc>
          <w:tcPr>
            <w:tcW w:w="8940" w:type="dxa"/>
            <w:vAlign w:val="bottom"/>
            <w:tcBorders>
              <w:top w:val="single" w:sz="8" w:color="CCEEFF"/>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Comprehensive Loss — Three and Six Months Ended December 29, 2023</w:t>
            </w: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3635D6"/>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94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and December 30, 2022</w:t>
            </w:r>
          </w:p>
        </w:tc>
        <w:tc>
          <w:tcPr>
            <w:tcW w:w="820" w:type="dxa"/>
            <w:vAlign w:val="bottom"/>
            <w:gridSpan w:val="2"/>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shd w:val="clear" w:color="auto" w:fill="CCEEFF"/>
          </w:tcPr>
          <w:p>
            <w:pPr>
              <w:spacing w:after="0"/>
              <w:rPr>
                <w:sz w:val="15"/>
                <w:szCs w:val="15"/>
                <w:color w:val="auto"/>
              </w:rPr>
            </w:pPr>
          </w:p>
        </w:tc>
        <w:tc>
          <w:tcPr>
            <w:tcW w:w="89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Cash Flows — Six Months Ended December 29, 2023 and December 30,</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right w:val="single" w:sz="8" w:color="CCEEFF"/>
            </w:tcBorders>
            <w:gridSpan w:val="2"/>
            <w:shd w:val="clear" w:color="auto" w:fill="CCEEFF"/>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9</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 w:type="dxa"/>
            <w:vAlign w:val="bottom"/>
            <w:tcBorders>
              <w:top w:val="single" w:sz="8" w:color="CCEEFF"/>
            </w:tcBorders>
          </w:tcPr>
          <w:p>
            <w:pPr>
              <w:spacing w:after="0"/>
              <w:rPr>
                <w:sz w:val="15"/>
                <w:szCs w:val="15"/>
                <w:color w:val="auto"/>
              </w:rPr>
            </w:pPr>
          </w:p>
        </w:tc>
        <w:tc>
          <w:tcPr>
            <w:tcW w:w="8940" w:type="dxa"/>
            <w:vAlign w:val="bottom"/>
            <w:tcBorders>
              <w:top w:val="single" w:sz="8" w:color="CCEEFF"/>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Convertible Preferred Stock and Shareholders' Equity — Six Months Ended</w:t>
            </w: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3635D6"/>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94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December 29, 2023 and December 30, 2022</w:t>
            </w:r>
          </w:p>
        </w:tc>
        <w:tc>
          <w:tcPr>
            <w:tcW w:w="820" w:type="dxa"/>
            <w:vAlign w:val="bottom"/>
            <w:gridSpan w:val="2"/>
          </w:tcPr>
          <w:p>
            <w:pPr>
              <w:jc w:val="center"/>
              <w:ind w:left="550"/>
              <w:spacing w:after="0" w:line="202" w:lineRule="exact"/>
              <w:rPr>
                <w:sz w:val="20"/>
                <w:szCs w:val="20"/>
                <w:color w:val="auto"/>
              </w:rPr>
            </w:pPr>
            <w:r>
              <w:rPr>
                <w:rFonts w:ascii="Times New Roman" w:cs="Times New Roman" w:eastAsia="Times New Roman" w:hAnsi="Times New Roman"/>
                <w:sz w:val="18"/>
                <w:szCs w:val="18"/>
                <w:color w:val="3635D6"/>
                <w:w w:val="99"/>
              </w:rPr>
              <w:t>10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8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12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59</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59</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860" w:type="dxa"/>
            <w:vAlign w:val="bottom"/>
          </w:tcPr>
          <w:p>
            <w:pPr>
              <w:spacing w:after="0"/>
              <w:rPr>
                <w:sz w:val="24"/>
                <w:szCs w:val="24"/>
                <w:color w:val="auto"/>
              </w:rPr>
            </w:pPr>
          </w:p>
        </w:tc>
        <w:tc>
          <w:tcPr>
            <w:tcW w:w="89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tcPr>
          <w:p>
            <w:pPr>
              <w:spacing w:after="0"/>
              <w:rPr>
                <w:sz w:val="24"/>
                <w:szCs w:val="24"/>
                <w:color w:val="auto"/>
              </w:rPr>
            </w:pPr>
          </w:p>
        </w:tc>
        <w:tc>
          <w:tcPr>
            <w:tcW w:w="140" w:type="dxa"/>
            <w:vAlign w:val="bottom"/>
            <w:tcBorders>
              <w:top w:val="single" w:sz="8" w:color="3635D6"/>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60</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5.</w:t>
            </w:r>
          </w:p>
        </w:tc>
        <w:tc>
          <w:tcPr>
            <w:tcW w:w="89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9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62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140" w:type="dxa"/>
            <w:vAlign w:val="bottom"/>
            <w:tcBorders>
              <w:right w:val="single" w:sz="8" w:color="3635D6"/>
            </w:tcBorders>
            <w:shd w:val="clear" w:color="auto" w:fill="3635D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Western Digital, the Western Digital logo, SanDisk, and WD are registered trademarks or trademarks of Western Digital or its affiliates in the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i w:val="1"/>
          <w:iCs w:val="1"/>
          <w:color w:val="auto"/>
        </w:rPr>
        <w:t>Examples of forward-looking statements include, but are not limited to, statements concerning: expectations regarding our plan to separate our HDD and Flash business units; the global macroeconomic environment; expectations regarding demand trends and market conditions for our products; expectations regarding long-term growth opportunities; expectations regarding our product momentum and product development and technology plans; expectations regarding capital expenditure plans and investments, including relating to our Flash Ventures joint venture with Kioxia Corporation (“Kioxia”), and sources of funding for related expenditures; expectations regarding our effective tax rate and our unrecognized tax benefits; our ability to improve through-cycle profitability; and our beliefs regarding our capital allocation plans and the sufficiency of our available liquidity and access to capital markets to meet our working capital, debt and capital expenditure needs.</w:t>
      </w:r>
    </w:p>
    <w:p>
      <w:pPr>
        <w:spacing w:after="0" w:line="211"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to differ materially from those expressed or implied in the forward-looking statements. These risks and uncertainties include, but are not limited to:</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in global or regional economic conditions and our responsive actions thereto;</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outcome, timing and impact of the planned separation of our HDD and Flash business units, including with respect to customer and supplier relationships, contractual restrictions, stock price volatility and the diversion of management’s attention from ongoing business operations and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responses to and effects of public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 including Kioxia;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goals relating to environmental, social and governance matters, including the company’s ability to meet its GHG emissions reduction and other ESG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right="34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30, 2023 (the “2023 Annual Report on Form 10-K”), as amended, supplemented or superseded in our other reports filed with the Securities and Exchange Commission,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2023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2023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3"/>
                <w:szCs w:val="13"/>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60" w:type="dxa"/>
            <w:vAlign w:val="bottom"/>
            <w:vMerge w:val="continue"/>
          </w:tcPr>
          <w:p>
            <w:pPr>
              <w:spacing w:after="0"/>
              <w:rPr>
                <w:sz w:val="14"/>
                <w:szCs w:val="14"/>
                <w:color w:val="auto"/>
              </w:rPr>
            </w:pPr>
          </w:p>
        </w:tc>
        <w:tc>
          <w:tcPr>
            <w:tcW w:w="1440" w:type="dxa"/>
            <w:vAlign w:val="bottom"/>
            <w:gridSpan w:val="2"/>
          </w:tcPr>
          <w:p>
            <w:pPr>
              <w:jc w:val="right"/>
              <w:ind w:right="780"/>
              <w:spacing w:after="0" w:line="166" w:lineRule="exact"/>
              <w:rPr>
                <w:sz w:val="20"/>
                <w:szCs w:val="20"/>
                <w:color w:val="auto"/>
              </w:rPr>
            </w:pPr>
            <w:r>
              <w:rPr>
                <w:rFonts w:ascii="Times New Roman" w:cs="Times New Roman" w:eastAsia="Times New Roman" w:hAnsi="Times New Roman"/>
                <w:sz w:val="16"/>
                <w:szCs w:val="16"/>
                <w:b w:val="1"/>
                <w:bCs w:val="1"/>
                <w:color w:val="auto"/>
                <w:w w:val="88"/>
              </w:rPr>
              <w:t>EQUITY</w:t>
            </w:r>
          </w:p>
        </w:tc>
        <w:tc>
          <w:tcPr>
            <w:tcW w:w="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16)</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1 shares; aggregate liquidation</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preference of $953 and $924, respectively</w:t>
            </w: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authorized — 450 shares; issued and outstanding — 326 shares and 322 shares,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w:t>
            </w:r>
          </w:p>
        </w:tc>
      </w:tr>
      <w:tr>
        <w:trPr>
          <w:trHeight w:val="21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r>
      <w:tr>
        <w:trPr>
          <w:trHeight w:val="19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59"/>
        </w:trPr>
        <w:tc>
          <w:tcPr>
            <w:tcW w:w="5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62"/>
        </w:trPr>
        <w:tc>
          <w:tcPr>
            <w:tcW w:w="5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expense related to items of other comprehensive income, before</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1"/>
                <w:szCs w:val="11"/>
                <w:color w:val="auto"/>
              </w:rPr>
            </w:pPr>
          </w:p>
        </w:tc>
        <w:tc>
          <w:tcPr>
            <w:tcW w:w="124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portion of asset impairment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repurchases of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dispositions of business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convertible preferred stock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080" w:type="dxa"/>
            <w:vAlign w:val="bottom"/>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29, 2023</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6"/>
        </w:trPr>
        <w:tc>
          <w:tcPr>
            <w:tcW w:w="330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Purchase of capped calls related to the</w:t>
            </w: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convertible notes, net of tax</w:t>
            </w: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29, 2023</w:t>
            </w: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00" w:type="dxa"/>
            <w:vAlign w:val="bottom"/>
          </w:tcPr>
          <w:p>
            <w:pPr>
              <w:spacing w:after="0"/>
              <w:rPr>
                <w:sz w:val="21"/>
                <w:szCs w:val="21"/>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July 1, 2022</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12,323</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Adoption of new accounting standards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12,222</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30, 2022</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tcPr>
          <w:p>
            <w:pPr>
              <w:spacing w:after="0"/>
              <w:rPr>
                <w:sz w:val="20"/>
                <w:szCs w:val="20"/>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both NAND flash and hard disk drive technologies.</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the following key end markets: Cloud, Client and Consumer. The Company also generates immaterial license and royalty revenue from its extensive intellectual property portfolio, which is included in each of these three end market categories.</w:t>
      </w:r>
    </w:p>
    <w:p>
      <w:pPr>
        <w:spacing w:after="0" w:line="201"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In the opinion of management, all adjustments necessary to fairly state the Condensed Consolidated Financial Statements have been made. Such adjustments consist of items of a normal, recurring nature as well as the revisions discussed further below.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The results of operations for interim periods are not necessarily indicative of results to be expected for the full year.</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2024, which will end on June 28, 2024, and fiscal year 2023, which ended June 30, 2023, are each comprised of 52 weeks, with all quarters presented consisting of 13 weeks.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flash-based products (“Flash”) and hard disk drives (“HDD”).</w:t>
      </w:r>
    </w:p>
    <w:p>
      <w:pPr>
        <w:spacing w:after="0" w:line="189"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Separation Costs</w:t>
      </w:r>
    </w:p>
    <w:p>
      <w:pPr>
        <w:spacing w:after="0" w:line="241" w:lineRule="exact"/>
        <w:rPr>
          <w:sz w:val="20"/>
          <w:szCs w:val="20"/>
          <w:color w:val="auto"/>
        </w:rPr>
      </w:pPr>
    </w:p>
    <w:p>
      <w:pPr>
        <w:ind w:right="180" w:firstLine="324"/>
        <w:spacing w:after="0" w:line="239" w:lineRule="auto"/>
        <w:rPr>
          <w:sz w:val="20"/>
          <w:szCs w:val="20"/>
          <w:color w:val="auto"/>
        </w:rPr>
      </w:pPr>
      <w:r>
        <w:rPr>
          <w:rFonts w:ascii="Times New Roman" w:cs="Times New Roman" w:eastAsia="Times New Roman" w:hAnsi="Times New Roman"/>
          <w:sz w:val="18"/>
          <w:szCs w:val="18"/>
          <w:color w:val="auto"/>
        </w:rPr>
        <w:t>On October 30, 2023, the Company announced that its Board of Directors had completed its strategic review of its business and, after evaluating a comprehensive range of alternatives, authorized the Company to pursue a plan to separate its HDD and Flash business units to create two independent, public companies. As a result of the plan, the Company incurred separation and transition costs and expects to incur such costs through the completion of the separation of the businesses, which the Company targets in the second half of calendar year 2024. The separation and transition costs are recorded within Business separation costs in the Condensed Consolidated Statements of Operations.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Revision of Previously Issued Financial Statements</w:t>
      </w:r>
    </w:p>
    <w:p>
      <w:pPr>
        <w:spacing w:after="0" w:line="241" w:lineRule="exact"/>
        <w:rPr>
          <w:sz w:val="20"/>
          <w:szCs w:val="20"/>
          <w:color w:val="auto"/>
        </w:rPr>
      </w:pPr>
    </w:p>
    <w:p>
      <w:pPr>
        <w:ind w:right="200" w:firstLine="324"/>
        <w:spacing w:after="0" w:line="241" w:lineRule="auto"/>
        <w:rPr>
          <w:sz w:val="20"/>
          <w:szCs w:val="20"/>
          <w:color w:val="auto"/>
        </w:rPr>
      </w:pPr>
      <w:r>
        <w:rPr>
          <w:rFonts w:ascii="Times New Roman" w:cs="Times New Roman" w:eastAsia="Times New Roman" w:hAnsi="Times New Roman"/>
          <w:sz w:val="18"/>
          <w:szCs w:val="18"/>
          <w:color w:val="auto"/>
        </w:rPr>
        <w:t>In connection with the preparation of its Condensed Consolidated Financial Statements as of and for the three and six months ended December 29, 2023, the Company identified certain errors related to the Company’s reporting and recording of its interests in its equity method investments in Flash Partners Ltd., Flash Alliance Ltd., and Flash Forward Ltd. (collectively, the “Flash Ventures”). The errors related to unadjusted differences between the Flash Ventures’ application of Japanese generally accepted accounting principles to certain lease-related transactions compared to the applicable U.S. generally accepted accounting principles. These unadjusted differences resulted in differences in the equity in earnings from these entities recognized by the Company in Other income (expense), net and the carrying value of the Company’s equity method investments in the Flash Ventures.</w:t>
      </w:r>
    </w:p>
    <w:p>
      <w:pPr>
        <w:spacing w:after="0" w:line="21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 xml:space="preserve">Based on an analysis of quantitative and qualitative factors in accordance with SAB No. 99, “Materiality,” and SAB No. 108, “Considering the Effects of Prior Year Misstatements when Quantifying Misstatements in Current Year Financial Statements,” and as described further in Note 17, </w:t>
      </w:r>
      <w:r>
        <w:rPr>
          <w:rFonts w:ascii="Times New Roman" w:cs="Times New Roman" w:eastAsia="Times New Roman" w:hAnsi="Times New Roman"/>
          <w:sz w:val="18"/>
          <w:szCs w:val="18"/>
          <w:i w:val="1"/>
          <w:iCs w:val="1"/>
          <w:color w:val="auto"/>
        </w:rPr>
        <w:t>Revision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Previously Issued Financial Statements</w:t>
      </w:r>
      <w:r>
        <w:rPr>
          <w:rFonts w:ascii="Times New Roman" w:cs="Times New Roman" w:eastAsia="Times New Roman" w:hAnsi="Times New Roman"/>
          <w:sz w:val="18"/>
          <w:szCs w:val="18"/>
          <w:color w:val="auto"/>
        </w:rPr>
        <w:t>, the Company evaluated the errors and determined the related impacts were not material to its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prior periods when they occurred, but that correcting the cumulative errors in the current period would be material to the Company's results of operations for the three and six months ended December 29, 2023. Accordingly, the Company has revised previously reported financial information for such immaterial errors. A summary of revisions to previously reported financial information presented herein for comparative purposes is included in Note 17, </w:t>
      </w:r>
      <w:r>
        <w:rPr>
          <w:rFonts w:ascii="Times New Roman" w:cs="Times New Roman" w:eastAsia="Times New Roman" w:hAnsi="Times New Roman"/>
          <w:sz w:val="18"/>
          <w:szCs w:val="18"/>
          <w:i w:val="1"/>
          <w:iCs w:val="1"/>
          <w:color w:val="auto"/>
        </w:rPr>
        <w:t>Revision of Previously Issued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Company to provide disclosure of outstanding obligations to such suppliers for all balance sheet dates presented beginning with the Company’s first quarter of 2024 and to provide certain rollforward information related to those obligations beginning in the Company’s first fiscal quarter of 2025. The ASU does not affect the recognition, measurement, or financial statement presentation of supplier finance program obligations. The Company adopted the guidance on the first day of fiscal year 2024, except for the rollforward information, which the Company is compiling and intends to provide beginning in fiscal year 2025. See Note 15, </w:t>
      </w:r>
      <w:r>
        <w:rPr>
          <w:rFonts w:ascii="Times New Roman" w:cs="Times New Roman" w:eastAsia="Times New Roman" w:hAnsi="Times New Roman"/>
          <w:sz w:val="18"/>
          <w:szCs w:val="18"/>
          <w:i w:val="1"/>
          <w:iCs w:val="1"/>
          <w:color w:val="auto"/>
        </w:rPr>
        <w:t>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Program, </w:t>
      </w:r>
      <w:r>
        <w:rPr>
          <w:rFonts w:ascii="Times New Roman" w:cs="Times New Roman" w:eastAsia="Times New Roman" w:hAnsi="Times New Roman"/>
          <w:sz w:val="18"/>
          <w:szCs w:val="18"/>
          <w:color w:val="auto"/>
        </w:rPr>
        <w:t>of the Notes to Condensed Consolidated Financial Statements for information regarding the supplier finance program.</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41"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expects to provide any required disclosures at that time.</w:t>
      </w:r>
    </w:p>
    <w:p>
      <w:pPr>
        <w:spacing w:after="0" w:line="211" w:lineRule="exact"/>
        <w:rPr>
          <w:sz w:val="20"/>
          <w:szCs w:val="20"/>
          <w:color w:val="auto"/>
        </w:rPr>
      </w:pPr>
    </w:p>
    <w:p>
      <w:pPr>
        <w:ind w:right="280" w:firstLine="324"/>
        <w:spacing w:after="0" w:line="239"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calls for enhanced income tax disclosure requirements surrounding the tabular rate reconciliation and income taxes paid. The amendments are effective for the Company’s fiscal year 2026, with early adoption permitted. The Company is currently compiling the information required for these disclosures. These incremental disclosures will be required beginning with the Company’s financial statements for the year ending June 27, 2025. The Company expects to provide any required disclosures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Business Segments, Geographic Information, and Concentrations of Risk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operating performance of the Company’s reportable segments: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9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31"/>
        </w:trPr>
        <w:tc>
          <w:tcPr>
            <w:tcW w:w="4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ind w:left="940"/>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3,221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3,379</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3,464</w:t>
            </w:r>
          </w:p>
        </w:tc>
      </w:tr>
      <w:tr>
        <w:trPr>
          <w:trHeight w:val="20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3,107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6,843</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662</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874</w:t>
            </w:r>
          </w:p>
        </w:tc>
      </w:tr>
      <w:tr>
        <w:trPr>
          <w:trHeight w:val="207"/>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profit for segments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1,536</w:t>
            </w:r>
          </w:p>
        </w:tc>
      </w:tr>
      <w:tr>
        <w:trPr>
          <w:trHeight w:val="19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Recovery from contamination incident</w:t>
            </w:r>
          </w:p>
        </w:tc>
        <w:tc>
          <w:tcPr>
            <w:tcW w:w="2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4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1,509</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19.6 %</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r>
      <w:tr>
        <w:trPr>
          <w:trHeight w:val="210"/>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-2679065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-2679065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multiple end markets. Cloud is comprised primarily of products for public or private cloud environments and end customers.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-1739265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-1739265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Company’s top 10 customers accounted for 39% of its net revenue for each of the three and six months ended December 29, 2023 and 47% and 48% of its net revenue for the three and six months ended December 30, 2022, respectively. For the three and six months ended December 29, 2023 and December 30, 2022, no single customer accounted for 10% or more of the Company’s net revenue.</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is not amortized. Instead, it is tested for impairment annually as of the beginning of the Company’s fourth quarter, or more frequently if</w:t>
      </w:r>
    </w:p>
    <w:p>
      <w:pPr>
        <w:spacing w:after="0" w:line="3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events or changes in circumstances indicate that goodwill may be impaired. Management performed goodwill impairment assessments for each segment and concluded that there were no indications of impairment for the periods presented. The following table provides a summary of goodwill activity for the period: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Flash</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HDD</w:t>
            </w:r>
          </w:p>
        </w:tc>
        <w:tc>
          <w:tcPr>
            <w:tcW w:w="34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w:t>
            </w:r>
          </w:p>
        </w:tc>
      </w:tr>
      <w:tr>
        <w:trPr>
          <w:trHeight w:val="213"/>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29, 2023</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third-party purchasers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for cash. During the six months ended December 29, 2023 and December 30, 2022, the Company sold trade accounts receivable aggregating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 million and $391 million, respectively. The discounts on the trade accounts receivable sold were not material and were recorded within 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 the Condensed Consolidated Statements of Operations. As of December 29, 2023 and June 30, 2023, the amount of factored receivables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outstanding was $115 million and $150 million, respectively.</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the three months ended December 29, 2023, one IPR&amp;D project reached technological feasibility and $8 million was reclassified from IPR&amp;D to Existing technology and commenced amortization over an estimated useful life of three years. As of December 29, 2023 and June 30, 2023, IPR&amp;D included in intangible assets, net was $72 million and $80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Current portion (included in Accrued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Long-term portion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3"/>
        </w:trPr>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-727710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-865505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54" w:lineRule="exact"/>
        <w:rPr>
          <w:sz w:val="20"/>
          <w:szCs w:val="20"/>
          <w:color w:val="auto"/>
        </w:rPr>
      </w:pPr>
    </w:p>
    <w:p>
      <w:pPr>
        <w:ind w:right="420" w:firstLine="324"/>
        <w:spacing w:after="0" w:line="270" w:lineRule="auto"/>
        <w:rPr>
          <w:sz w:val="20"/>
          <w:szCs w:val="20"/>
          <w:color w:val="auto"/>
        </w:rPr>
      </w:pPr>
      <w:r>
        <w:rPr>
          <w:rFonts w:ascii="Times New Roman" w:cs="Times New Roman" w:eastAsia="Times New Roman" w:hAnsi="Times New Roman"/>
          <w:sz w:val="18"/>
          <w:szCs w:val="18"/>
          <w:color w:val="auto"/>
        </w:rPr>
        <w:t>Accumulated other comprehensive loss (“AOCL”), net of tax refers to expenses, gains and losses that are recorded as an element of shareholders’ equity but are excluded from net income. The following table illustrates the changes in the balances of each component of AOCL:</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Unrealized Losses on</w:t>
            </w:r>
          </w:p>
        </w:tc>
        <w:tc>
          <w:tcPr>
            <w:tcW w:w="120" w:type="dxa"/>
            <w:vAlign w:val="bottom"/>
          </w:tcPr>
          <w:p>
            <w:pPr>
              <w:spacing w:after="0"/>
              <w:rPr>
                <w:sz w:val="12"/>
                <w:szCs w:val="12"/>
                <w:color w:val="auto"/>
              </w:rPr>
            </w:pPr>
          </w:p>
        </w:tc>
        <w:tc>
          <w:tcPr>
            <w:tcW w:w="13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-1010920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29, 2023, the amounts reclassified out of AOCL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29, 2023, substantially all existing net losses related to cash flow hedges recorded in AOCL are expected to be reclassified to earnings within the next twelve months. In addition, as of December 29, 2023,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and June 30, 2023, and indicate the fair value hierarchy of the valuation techniques utilized to determine such values: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0"/>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-2828290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-2828290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-2828290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-1165225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-1165225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-1165225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2024 and the fourth quarter of 2023,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2023</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6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Delayed Draw Term Loan due 2024</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8,393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w:t>
            </w:r>
          </w:p>
        </w:tc>
      </w:tr>
      <w:tr>
        <w:trPr>
          <w:trHeight w:val="21"/>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-1276350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-1276350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-1276350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43"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As of December 29, 2023, the Company had outstanding foreign exchange forward contracts that were designated as either cash flow hedges or non-designated hedges. Substantially all of the contract maturity dates of these foreign exchange forward contracts do not exceed 12 months. As of December 29, 2023, the Company did not have any derivative contracts with credit-risk-related contingent features.</w:t>
      </w: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are recognized in Other income, net and are largely offset by corresponding changes in the fair values of the foreign currency-denominated monetary assets and liabilities. For each of the three and six months ended December 29, 2023 and December 30, 2022, total net realized and unrealized transaction and foreign exchange contract currency gains and losses were not material to the Company’s Condensed Consolidated Financial Statements.</w:t>
      </w:r>
    </w:p>
    <w:p>
      <w:pPr>
        <w:spacing w:after="0" w:line="20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Unrealized gains or losses on designated cash flow hedges are recognized in AOCL. For more information regarding cash flow hedges, see Note 4, </w:t>
      </w:r>
      <w:r>
        <w:rPr>
          <w:rFonts w:ascii="Times New Roman" w:cs="Times New Roman" w:eastAsia="Times New Roman" w:hAnsi="Times New Roman"/>
          <w:sz w:val="18"/>
          <w:szCs w:val="18"/>
          <w:i w:val="1"/>
          <w:iCs w:val="1"/>
          <w:color w:val="auto"/>
        </w:rPr>
        <w:t>Supplemental Financial Statement Data - Accumulated other comprehensive loss.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December 29, 2023 and June 30, 2023,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Delayed Draw Term Loan due 2024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w:t>
            </w:r>
          </w:p>
        </w:tc>
      </w:tr>
      <w:tr>
        <w:trPr>
          <w:trHeight w:val="21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12"/>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-1842770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In August 2023, the Company drew $600 million of principal amount (the “Delayed Draw Term Loan”) under a loan agreement entered into in January 2023 and amended in June 2023 (the “Delayed Draw Term Loan Agreement”), which allowed the Company to draw a single loan of up to $600 million through August 14, 2023. The Delayed Draw Term Loan will mature on June 28, 2024. The Company repaid $300 million principal amount of the Delayed Draw Term Loan during the quarter ended December 29, 2023.</w:t>
      </w:r>
    </w:p>
    <w:p>
      <w:pPr>
        <w:spacing w:after="0" w:line="212" w:lineRule="exact"/>
        <w:rPr>
          <w:sz w:val="20"/>
          <w:szCs w:val="20"/>
          <w:color w:val="auto"/>
        </w:rPr>
      </w:pPr>
    </w:p>
    <w:p>
      <w:pPr>
        <w:ind w:right="300" w:firstLine="324"/>
        <w:spacing w:after="0" w:line="242" w:lineRule="auto"/>
        <w:rPr>
          <w:sz w:val="20"/>
          <w:szCs w:val="20"/>
          <w:color w:val="auto"/>
        </w:rPr>
      </w:pPr>
      <w:r>
        <w:rPr>
          <w:rFonts w:ascii="Times New Roman" w:cs="Times New Roman" w:eastAsia="Times New Roman" w:hAnsi="Times New Roman"/>
          <w:sz w:val="18"/>
          <w:szCs w:val="18"/>
          <w:color w:val="auto"/>
        </w:rPr>
        <w:t>The Delayed Draw Term Loan bears interest, at the Company’s option, at a per annum rate equal to either (x) the Adjusted Term SOFR Rate (as defined in the Delayed Draw Term Loan Agreement) plus an applicable margin varying from 1.750% to 2.625% or (y) a base rate plus an applicable margin varying from 0.750% to 1.625%, in each case depending on the corporate family ratings of the Company from at least two of Standard &amp; Poor’s Ratings Services, Moody’s Investors Service, Inc. and Fitch Ratings, Inc. (the “Credit Rating Agencies”). The all-in interest rate for the Delayed Draw Term Loan as of December 29, 2023 was 7.582%.</w:t>
      </w:r>
    </w:p>
    <w:p>
      <w:pPr>
        <w:spacing w:after="0" w:line="21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7"/>
          <w:szCs w:val="17"/>
          <w:color w:val="auto"/>
        </w:rPr>
        <w:t>During the three months ended December 29, 2023, the Company made a $38 million scheduled repayment of the Term Loan A-2. The Term Loan A-2 Loan bears interest, at the Company’s option, at a per annum rate equal to either (x) the Adjusted Term SOFR (as defined in the loan agreement governing the Term Loan A-2) plus an applicable margin varying from 1.125% to 2.000% or (y) a base rate plus an applicable margin varying from 0.125% to</w:t>
      </w:r>
    </w:p>
    <w:p>
      <w:pPr>
        <w:spacing w:after="0" w:line="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1.000%, in each case depending on the corporate family ratings of the Company from at least two of the Credit Rating Agencies, with an initial interest rate of Adjusted Term SOFR plus 1.500%. The all-in interest rate for Term Loan A-2 as of December 29, 2023 was 6.966%.</w:t>
      </w:r>
    </w:p>
    <w:p>
      <w:pPr>
        <w:spacing w:after="0" w:line="209"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The loan agreements governing the Company’s revolving credit facility, Term Loan A-2 maturing 2027, and the Delayed Draw Term Loan require the Company to comply with certain financial covenants, consisting of a leverage ratio, a minimum liquidity and a free cash flow requirement. As of December 29, 2023, the Company was in compliance with these financial covenants.</w:t>
      </w:r>
    </w:p>
    <w:p>
      <w:pPr>
        <w:spacing w:after="0" w:line="211" w:lineRule="exact"/>
        <w:rPr>
          <w:sz w:val="20"/>
          <w:szCs w:val="20"/>
          <w:color w:val="auto"/>
        </w:rPr>
      </w:pPr>
    </w:p>
    <w:p>
      <w:pPr>
        <w:ind w:right="180" w:firstLine="324"/>
        <w:spacing w:after="0" w:line="242" w:lineRule="auto"/>
        <w:rPr>
          <w:sz w:val="20"/>
          <w:szCs w:val="20"/>
          <w:color w:val="auto"/>
        </w:rPr>
      </w:pPr>
      <w:r>
        <w:rPr>
          <w:rFonts w:ascii="Times New Roman" w:cs="Times New Roman" w:eastAsia="Times New Roman" w:hAnsi="Times New Roman"/>
          <w:sz w:val="18"/>
          <w:szCs w:val="18"/>
          <w:color w:val="auto"/>
        </w:rPr>
        <w:t>On November 3, 2023, the Company issued $1.60 billion aggregate principal amount of convertible senior notes which bear interest at an annual rate of 3.00% and mature on November 15, 2028, unless earlier repurchased, redeemed or converted (the “2028 Convertible Notes”). The Company is not required to make principal payments on the 2028 Convertible Notes prior to the maturity date. The 2028 Convertible Notes are jointly and severally guaranteed by each of the Company’s wholly-owned subsidiaries that guarantees the 4.75% senior unsecured notes due 2026 (currently, Western Digital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The 2028 Convertible Notes are convertible at an initial conversion price of approximately $52.20 per share of common stock. Prior to August 15, 2028, the 2028 Convertible Notes are convertible only upon the occurrence of certain events and during certain periods. Upon any conversion of the 2028 Convertible Notes, the Company will pay cash up to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212" w:lineRule="exact"/>
        <w:rPr>
          <w:sz w:val="20"/>
          <w:szCs w:val="20"/>
          <w:color w:val="auto"/>
        </w:rPr>
      </w:pPr>
    </w:p>
    <w:p>
      <w:pPr>
        <w:jc w:val="both"/>
        <w:ind w:right="40" w:firstLine="324"/>
        <w:spacing w:after="0" w:line="242" w:lineRule="auto"/>
        <w:rPr>
          <w:sz w:val="20"/>
          <w:szCs w:val="20"/>
          <w:color w:val="auto"/>
        </w:rPr>
      </w:pPr>
      <w:r>
        <w:rPr>
          <w:rFonts w:ascii="Times New Roman" w:cs="Times New Roman" w:eastAsia="Times New Roman" w:hAnsi="Times New Roman"/>
          <w:sz w:val="18"/>
          <w:szCs w:val="18"/>
          <w:color w:val="auto"/>
        </w:rPr>
        <w:t>Net proceeds from the 2028 Convertible Notes were approximately $1,563 million after deducting issuance costs of approximately $37 million. Debt issuance costs are amortized to interest expense over the term of the 2028 Convertible Notes. As of December 29, 2023, unamortized debt issuance costs were $36 million.</w:t>
      </w:r>
    </w:p>
    <w:p>
      <w:pPr>
        <w:spacing w:after="0" w:line="211" w:lineRule="exact"/>
        <w:rPr>
          <w:sz w:val="20"/>
          <w:szCs w:val="20"/>
          <w:color w:val="auto"/>
        </w:rPr>
      </w:pPr>
    </w:p>
    <w:p>
      <w:pPr>
        <w:jc w:val="both"/>
        <w:ind w:right="360" w:firstLine="324"/>
        <w:spacing w:after="0" w:line="250" w:lineRule="auto"/>
        <w:rPr>
          <w:sz w:val="20"/>
          <w:szCs w:val="20"/>
          <w:color w:val="auto"/>
        </w:rPr>
      </w:pPr>
      <w:r>
        <w:rPr>
          <w:rFonts w:ascii="Times New Roman" w:cs="Times New Roman" w:eastAsia="Times New Roman" w:hAnsi="Times New Roman"/>
          <w:sz w:val="18"/>
          <w:szCs w:val="18"/>
          <w:color w:val="auto"/>
        </w:rPr>
        <w:t>Contemporaneously with the issuance of the 2028 Convertible Notes, the Company entered into individually negotiated transactions with certain holders of the Company’s existing 2024 Convertible Notes to repurchase approximately $508 million aggregate principal amount of such notes at an immaterial discount.</w:t>
      </w:r>
    </w:p>
    <w:p>
      <w:pPr>
        <w:spacing w:after="0" w:line="2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The Capped Calls each have a strike price of approximately $52.20 per share, subject to certain adjustments, which correspond to the initial conversion price of the 2028 Convertible Notes. The Capped Calls have initial cap prices of $70.26 per share, subject to certain adjustments. The Capped Calls cover, subject to anti-dilution adjustments, approximately 8 million shares of the Company’s common stock. The Company has the option to settle the Capped Calls in either shares, cash or a combination thereof. The Capped Calls are generally intended to reduce or offset the potential dilution to the Company’s common stock upon any conversion of the 2028 Convertible Notes with such reduction or offset, as the case may be, subject to a cap based on the cap price. However, if the market price per share of the Company’s common stock, as measured under the terms of the Capped Calls, exceeds the cap prices of the Capped Calls, there would nevertheless be dilution and/or there would not be an offset of such cash payments, in each case, to the extent that such market price exceeds the cap price of the Capped Calls. The Capped Calls are separate transactions, and not part of the terms of the 2028 Convertible Notes. As these transactions meet certain accounting criteria, the Capped Calls are recorded in stockholders’ equity and are not accounted for as derivatives. The cost of the Capped Calls of $155 million, net of $37 million in deferred tax assets, was recorded as a decrease to additional paid-in capital on the Company’s Condensed Consolidated Balance Sheets as of December 29, 2023.</w:t>
      </w:r>
    </w:p>
    <w:p>
      <w:pPr>
        <w:spacing w:after="0" w:line="21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February 1, 2024, the Company settled all remaining 2024 Convertible Notes in accordance with their original terms for an aggregate cash principal payment of $592 million plus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3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tbl>
      <w:tblPr>
        <w:tblLayout w:type="fixed"/>
        <w:tblInd w:w="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2"/>
                <w:szCs w:val="12"/>
                <w:color w:val="auto"/>
              </w:rPr>
            </w:pPr>
          </w:p>
        </w:tc>
        <w:tc>
          <w:tcPr>
            <w:tcW w:w="1060" w:type="dxa"/>
            <w:vAlign w:val="bottom"/>
          </w:tcPr>
          <w:p>
            <w:pPr>
              <w:jc w:val="right"/>
              <w:ind w:right="383"/>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benefit costs were not material for the three and six months ended December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29, 2023 and December 30, 2022, the Company made net payments to Flash Ventures of $0.8 billion and $1.8 billion, and $1.0 billion and $2.0 billion, respectively, for purchased flash-based memory wafers and net loans.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December 29, 2023 and June 30, 2023, the Company had accounts payable balances due to Flash Ventures of $251 million and $292 million, respectively.</w:t>
      </w:r>
    </w:p>
    <w:p>
      <w:pPr>
        <w:spacing w:after="0" w:line="189" w:lineRule="exact"/>
        <w:rPr>
          <w:sz w:val="20"/>
          <w:szCs w:val="20"/>
          <w:color w:val="auto"/>
        </w:rPr>
      </w:pPr>
    </w:p>
    <w:p>
      <w:pPr>
        <w:jc w:val="both"/>
        <w:ind w:right="200" w:firstLine="324"/>
        <w:spacing w:after="0" w:line="279" w:lineRule="auto"/>
        <w:rPr>
          <w:sz w:val="20"/>
          <w:szCs w:val="20"/>
          <w:color w:val="auto"/>
        </w:rPr>
      </w:pPr>
      <w:r>
        <w:rPr>
          <w:rFonts w:ascii="Times New Roman" w:cs="Times New Roman" w:eastAsia="Times New Roman" w:hAnsi="Times New Roman"/>
          <w:sz w:val="17"/>
          <w:szCs w:val="17"/>
          <w:color w:val="auto"/>
        </w:rPr>
        <w:t>The Company’s maximum reasonably estimable loss exposure (excluding lost profits) as a result of its involvement with Flash Ventures, based upon the Japanese yen to U.S. dollar exchange rate at December 29, 2023,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7"/>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2"/>
              <w:spacing w:after="0" w:line="147"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6"/>
        </w:trPr>
        <w:tc>
          <w:tcPr>
            <w:tcW w:w="9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9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Flash Ventures has historically operated near 100% of its manufacturing capacity. As a result of flash market conditions, the Company temporarily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its utilization of its share of Flash Ventures’ manufacturing capacity to an abnormally low level to more closely align the Company’s flash-based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wafer supply with projected demand. During the three and six months ended December 29, 2023, the Company incurred costs of $107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$249 million, respectively, associated with the reduction in utilization related to Flash Ventures, which was recorded as a charge to Cost of revenue.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charges were incurred during the three and six months ended December 30, 2022.</w:t>
      </w:r>
    </w:p>
    <w:p>
      <w:pPr>
        <w:spacing w:after="0" w:line="2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2022, contamination of certain material used in manufacturing processes occurred at Flash Ventures’ fabrication facilities in both Yokkaichi and Kitakami, Japan which resulted in damage to inventory units in production, a temporary disruption to production operations and a reduction in the Company’s flash wafer availability. During 2022, the Company incurred charges of $207 million related to this contamination incident that were recorded in Cost of revenue and primarily consisted of scrapped inventory and rework costs, decontamination and other costs needed to restore the facilities to normal capacity, as well as charges for under absorption of overhead costs. During the three months ended December 29, 2023, the Company received a recovery of $36 million related to this incident from its insurance carriers, which was recorded in Cost of revenue. The Company continues to pursue recovery of its remaining losses associated with this event; however, the total amount of recovery cannot be estimated at this time.</w:t>
      </w:r>
    </w:p>
    <w:p>
      <w:pPr>
        <w:spacing w:after="0" w:line="2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facility agreements with Kioxia related to the construction and operation of Kioxia’s “K1” 300-millimeter wafer fabrication facility in Kitakami, Japan and a wafer fabrication facility in Yokkaichi, Japan, referred to as “Y7”. In connection with the start-up of these facilities, the Company has made prepayments toward future building depreciation. As of December 29, 2023, such prepayments aggregated $549 million and will be credited against future wafer charges.</w:t>
      </w:r>
    </w:p>
    <w:p>
      <w:pPr>
        <w:spacing w:after="0" w:line="205"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5"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Activities. </w:t>
      </w:r>
      <w:r>
        <w:rPr>
          <w:rFonts w:ascii="Times New Roman" w:cs="Times New Roman" w:eastAsia="Times New Roman" w:hAnsi="Times New Roman"/>
          <w:sz w:val="18"/>
          <w:szCs w:val="18"/>
          <w:color w:val="auto"/>
        </w:rPr>
        <w:t>The Company participates in common research and development (“R&amp;D”) activities with Kioxia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contractually committed to a minimum funding level. R&amp;D commitments are immaterial to the Condensed Consolidated Financial Statements.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7"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29, 2023.</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1"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1" w:lineRule="exact"/>
              <w:rPr>
                <w:sz w:val="20"/>
                <w:szCs w:val="20"/>
                <w:color w:val="auto"/>
              </w:rPr>
            </w:pPr>
            <w:r>
              <w:rPr>
                <w:rFonts w:ascii="Times New Roman" w:cs="Times New Roman" w:eastAsia="Times New Roman" w:hAnsi="Times New Roman"/>
                <w:sz w:val="14"/>
                <w:szCs w:val="14"/>
                <w:i w:val="1"/>
                <w:iCs w:val="1"/>
                <w:color w:val="auto"/>
              </w:rPr>
              <w:t>(U.S. dollar, in</w:t>
            </w:r>
          </w:p>
        </w:tc>
      </w:tr>
      <w:tr>
        <w:trPr>
          <w:trHeight w:val="195"/>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i w:val="1"/>
                <w:iCs w:val="1"/>
                <w:color w:val="auto"/>
              </w:rPr>
              <w:t>millions)</w:t>
            </w: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firstLine="324"/>
        <w:spacing w:after="0" w:line="263"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29, 2023 in U.S. dollars, based upon the Japanese yen to U.S. dollar exchange rate as of December 29, 2023:</w:t>
      </w:r>
    </w:p>
    <w:tbl>
      <w:tblPr>
        <w:tblLayout w:type="fixed"/>
        <w:tblInd w:w="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520" w:type="dxa"/>
            <w:vAlign w:val="bottom"/>
            <w:gridSpan w:val="3"/>
            <w:vMerge w:val="continue"/>
          </w:tcPr>
          <w:p>
            <w:pPr>
              <w:spacing w:after="0"/>
              <w:rPr>
                <w:sz w:val="12"/>
                <w:szCs w:val="12"/>
                <w:color w:val="auto"/>
              </w:rPr>
            </w:pPr>
          </w:p>
        </w:tc>
        <w:tc>
          <w:tcPr>
            <w:tcW w:w="15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Guarantee Amount</w:t>
            </w:r>
          </w:p>
        </w:tc>
        <w:tc>
          <w:tcPr>
            <w:tcW w:w="0" w:type="dxa"/>
            <w:vAlign w:val="bottom"/>
          </w:tcPr>
          <w:p>
            <w:pPr>
              <w:spacing w:after="0"/>
              <w:rPr>
                <w:sz w:val="1"/>
                <w:szCs w:val="1"/>
                <w:color w:val="auto"/>
              </w:rPr>
            </w:pPr>
          </w:p>
        </w:tc>
      </w:tr>
      <w:tr>
        <w:trPr>
          <w:trHeight w:val="198"/>
        </w:trPr>
        <w:tc>
          <w:tcPr>
            <w:tcW w:w="6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 Terms</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of 2024</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-1148080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-1148080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29, 2023, no amounts had been accrued in the Condensed Consolidated Financial Statements with respect to these indemnification agreements.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54"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and six months ended December 29, 2023, the Company recognized approximately 4% and 3% of its consolidated revenue, respectively, on products distributed by the Unis Venture. For both the three and six months ended December 30, 2022, the Company recognized approximately 3% of its consolidated revenue on products distributed by the Unis Venture. The outstanding accounts receivable due from the Unis Venture were 8% of Accounts receivable, net as of both December 29, 2023 and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related to operating leases as of December 29,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9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Minimum lease payments by year:</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six months of 2024</w:t>
            </w: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w:t>
            </w:r>
          </w:p>
        </w:tc>
      </w:tr>
      <w:tr>
        <w:trPr>
          <w:trHeight w:val="207"/>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0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610</w:t>
            </w:r>
          </w:p>
        </w:tc>
      </w:tr>
      <w:tr>
        <w:trPr>
          <w:trHeight w:val="21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r>
      <w:tr>
        <w:trPr>
          <w:trHeight w:val="207"/>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0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440</w:t>
            </w:r>
          </w:p>
        </w:tc>
      </w:tr>
      <w:tr>
        <w:trPr>
          <w:trHeight w:val="216"/>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portion (included in Accrued expenses)</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9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 )</w:t>
            </w:r>
          </w:p>
        </w:tc>
        <w:tc>
          <w:tcPr>
            <w:tcW w:w="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393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418</w:t>
            </w:r>
          </w:p>
        </w:tc>
      </w:tr>
      <w:tr>
        <w:trPr>
          <w:trHeight w:val="259"/>
        </w:trPr>
        <w:tc>
          <w:tcPr>
            <w:tcW w:w="96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700" w:type="dxa"/>
            <w:vAlign w:val="bottom"/>
            <w:gridSpan w:val="3"/>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1160" w:type="dxa"/>
            <w:vAlign w:val="bottom"/>
          </w:tcPr>
          <w:p>
            <w:pPr>
              <w:jc w:val="center"/>
              <w:ind w:left="166"/>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c>
          <w:tcPr>
            <w:tcW w:w="1240" w:type="dxa"/>
            <w:vAlign w:val="bottom"/>
          </w:tcPr>
          <w:p>
            <w:pPr>
              <w:jc w:val="center"/>
              <w:ind w:left="246"/>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ind w:right="264"/>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240" w:type="dxa"/>
            <w:vAlign w:val="bottom"/>
          </w:tcPr>
          <w:p>
            <w:pPr>
              <w:jc w:val="right"/>
              <w:ind w:right="223"/>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5200" w:type="dxa"/>
            <w:vAlign w:val="bottom"/>
          </w:tcPr>
          <w:p>
            <w:pPr>
              <w:spacing w:after="0"/>
              <w:rPr>
                <w:sz w:val="17"/>
                <w:szCs w:val="17"/>
                <w:color w:val="auto"/>
              </w:rPr>
            </w:pPr>
          </w:p>
        </w:tc>
        <w:tc>
          <w:tcPr>
            <w:tcW w:w="11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5"/>
          </w:tcPr>
          <w:p>
            <w:pPr>
              <w:jc w:val="right"/>
              <w:ind w:right="110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6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2023, the Company completed a sale and leaseback of its facility in Milpitas, California. The Company received net proceeds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$191 million in cash and recorded a gain of $85 million on the sale. In connection with the sale, the Company agreed to lease back the facility at an annual lease rate of $16 million for the first year, increasing by 3% per year thereafter through January 1, 2039. The lease includes three 5-year renewal options and one 4-year renewal option for the ability to extend through December 2057. The supplemental balance sheet information and supplemental disclosures of operating cost and cash flow information related to the lease are included in the tables above.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December 29, 2023, the Company had the following minimum long-term commitments:</w:t>
      </w:r>
    </w:p>
    <w:tbl>
      <w:tblPr>
        <w:tblLayout w:type="fixed"/>
        <w:tblInd w:w="0" w:type="dxa"/>
        <w:tblCellMar>
          <w:top w:w="0" w:type="dxa"/>
          <w:left w:w="0" w:type="dxa"/>
          <w:bottom w:w="0" w:type="dxa"/>
          <w:right w:w="0" w:type="dxa"/>
        </w:tblCellMar>
      </w:tblPr>
      <w:tr>
        <w:trPr>
          <w:trHeight w:val="150"/>
        </w:trPr>
        <w:tc>
          <w:tcPr>
            <w:tcW w:w="9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02"/>
              <w:spacing w:after="0" w:line="150"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95"/>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six months of 2024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20" w:firstLine="324"/>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120" w:type="dxa"/>
            <w:vAlign w:val="bottom"/>
          </w:tcPr>
          <w:p>
            <w:pPr>
              <w:jc w:val="center"/>
              <w:ind w:left="204"/>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1"/>
                <w:szCs w:val="11"/>
                <w:color w:val="auto"/>
              </w:rPr>
            </w:pPr>
          </w:p>
        </w:tc>
        <w:tc>
          <w:tcPr>
            <w:tcW w:w="12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200" w:type="dxa"/>
            <w:vAlign w:val="bottom"/>
          </w:tcPr>
          <w:p>
            <w:pPr>
              <w:spacing w:after="0"/>
              <w:rPr>
                <w:sz w:val="16"/>
                <w:szCs w:val="16"/>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5"/>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6"/>
          </w:tcPr>
          <w:p>
            <w:pPr>
              <w:ind w:left="1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5200" w:type="dxa"/>
            <w:vAlign w:val="bottom"/>
          </w:tcPr>
          <w:p>
            <w:pPr>
              <w:spacing w:after="0"/>
              <w:rPr>
                <w:sz w:val="24"/>
                <w:szCs w:val="24"/>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5200" w:type="dxa"/>
            <w:vAlign w:val="bottom"/>
          </w:tcPr>
          <w:p>
            <w:pPr>
              <w:spacing w:after="0"/>
              <w:rPr>
                <w:sz w:val="11"/>
                <w:szCs w:val="11"/>
                <w:color w:val="auto"/>
              </w:rPr>
            </w:pPr>
          </w:p>
        </w:tc>
        <w:tc>
          <w:tcPr>
            <w:tcW w:w="1120" w:type="dxa"/>
            <w:vAlign w:val="bottom"/>
          </w:tcPr>
          <w:p>
            <w:pPr>
              <w:jc w:val="center"/>
              <w:ind w:left="204"/>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4"/>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1"/>
                <w:szCs w:val="11"/>
                <w:color w:val="auto"/>
              </w:rPr>
            </w:pPr>
          </w:p>
        </w:tc>
        <w:tc>
          <w:tcPr>
            <w:tcW w:w="124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5200" w:type="dxa"/>
            <w:vAlign w:val="bottom"/>
          </w:tcPr>
          <w:p>
            <w:pPr>
              <w:spacing w:after="0"/>
              <w:rPr>
                <w:sz w:val="17"/>
                <w:szCs w:val="17"/>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6"/>
          </w:tcPr>
          <w:p>
            <w:pPr>
              <w:ind w:left="1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-2167890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-2167890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-1010920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were not material for the periods presented.</w:t>
      </w:r>
    </w:p>
    <w:p>
      <w:pPr>
        <w:spacing w:after="0" w:line="189" w:lineRule="exact"/>
        <w:rPr>
          <w:sz w:val="20"/>
          <w:szCs w:val="20"/>
          <w:color w:val="auto"/>
        </w:rPr>
      </w:pPr>
    </w:p>
    <w:p>
      <w:pPr>
        <w:ind w:right="160" w:firstLine="324"/>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December 29, 2023:</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41"/>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213"/>
        </w:trPr>
        <w:tc>
          <w:tcPr>
            <w:tcW w:w="14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4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(years)</w:t>
            </w:r>
          </w:p>
        </w:tc>
      </w:tr>
      <w:tr>
        <w:trPr>
          <w:trHeight w:val="218"/>
        </w:trPr>
        <w:tc>
          <w:tcPr>
            <w:tcW w:w="82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2.6</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1.0</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6"/>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right="56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 As of December 29, 2023, there were no remaining outstanding options.</w:t>
      </w: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4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June 30,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Canceled or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29,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7"/>
                <w:szCs w:val="17"/>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30,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December 29,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4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 The Preferred Shares accrue a cumulative preferred dividend at an annual rate of 6.25% per annum (increasing to 7.25% per annum on January 31, 2030 and to 8.25% per annum on January 31, 2033) compounded on a quarterly basis. The Preferred Shares also participate in any dividends declared for common shareholders on an as-converted equivalent basis. No dividends have been declared or paid since the issuance of the Preferred Shares. As of December 29, 2023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unpaid and cumulative dividends payable with respect to the Preferred Shares were $53 million and $24 million, respectively.</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29, 2023 and June 30, 2023, the Preferred Shares outstanding had an aggregate liquidation preference of $953 million and</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$924 million, respectively, and would have been convertible, if otherwise permitted, into approximately 20 million shares of common stock on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The Company completed its accounting for the tax effects of the enactment of the 2017 Act during the second quarter of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01"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 billion. The corporate alternative minimum tax is effective for the Company beginning with fiscal year 2024. The Company is not subject to the CAMT of 15% for fiscal year 2024 as its average annual AFSI did not exceed $1.0 billion for the preceding three-year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40" w:type="dxa"/>
            <w:vAlign w:val="bottom"/>
            <w:gridSpan w:val="3"/>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9"/>
        </w:trPr>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304"/>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20" w:type="dxa"/>
            <w:vAlign w:val="bottom"/>
          </w:tcPr>
          <w:p>
            <w:pPr>
              <w:jc w:val="right"/>
              <w:ind w:right="284"/>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304"/>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20" w:type="dxa"/>
            <w:vAlign w:val="bottom"/>
          </w:tcPr>
          <w:p>
            <w:pPr>
              <w:jc w:val="right"/>
              <w:ind w:right="263"/>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4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4"/>
          </w:tcPr>
          <w:p>
            <w:pPr>
              <w:jc w:val="right"/>
              <w:ind w:right="1124"/>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(259)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(941)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(288)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18"/>
                <w:szCs w:val="18"/>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132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-548005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-548005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-548005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Beginning in 2023, the 2017 Act requires the Company to capitalize and amortize R&amp;D expenses rather than expensing them in the year incurred. The tax effects related to the capitalization of R&amp;D expenses are included in the effective tax rate for the three and six months ended December 29, 2023, but did not have a material impact on the Company’s effective tax rate.</w:t>
      </w:r>
    </w:p>
    <w:p>
      <w:pPr>
        <w:spacing w:after="0" w:line="204"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29, 2023 and the U.S. Federal statutory rate of 21% are the relative mix of earnings and losses by jurisdiction, the deduction for foreign-derived intangible income, credits, and tax holidays in Malaysia, the Philippines and Thailand that have or will expire at various dates during years 2024 through 2031. On November 1, 2023, one of the Company’s tax holidays in Malaysia expired. The Company has applied for an extension and anticipates this extension, if granted, will be applied retroactively and begin on November 2, 2023. Because the exact terms of the extension are not currently known, the Company is applying the Malaysia corporate statutory tax rate on the expired tax holiday income. If a retroactive extension is granted, the Company will make an adjustment to its effective tax rate in that period. The effective tax rate for the six months ended December 29, 2023 includes the discrete effect of a net decrease of $30 million to the liability for unrecognized tax benefits, which includes interest and offsetting tax benefits, as a result of adjustments to align with IRS calculations.</w:t>
      </w:r>
    </w:p>
    <w:p>
      <w:pPr>
        <w:spacing w:after="0" w:line="228"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30, 2022 and the U.S. Federal statutory rate of 21% are the relative mix of earnings and losses by jurisdiction, the deduction for foreign-derived intangible income, credits, and tax holidays in Malaysia, the Philippines and Thailand.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six months ended December 29, 2023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30, 2023</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23"/>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December 29, 2023</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December 29, 2023 were $161 million. Of the aggregate unrecognized tax benefits, including interest and penalties, as of December 29, 2023, approximately $671 million could result in potential cash payments and the Company believes it is reasonably likely that payments of approximately $187 million may be made within the next twelve months and has classified that portion of these unrecognized tax benefits, including interest, in Income taxes payable on the Condensed Consolidated Balance Sheets as of December 29, 2023. The remaining payables related to unrecognized tax benefits are included in Other liabilities on the Condensed Consolidated Balance Sheets as of December 29, 2023.</w:t>
      </w:r>
    </w:p>
    <w:p>
      <w:pPr>
        <w:spacing w:after="0" w:line="216"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The Company reached a final agreement with the IRS regarding notices of deficiency with respect to years 2008 through 2012 and tentatively reached a basis for resolving the notices of proposed adjustments with respect to years 2013 through 2015. During the six months ended December 29, 2023, the Company made payments of $363 million for tax and $160 million for interest with respect to years 2008 through 2012 and recorded adjustments to align with IRS calculations, resulting in a remaining liability of $187 million as of December 29, 2023 related to all years from 2008 through 2015. The Company expects to pay any remaining balance with respect to this matter within the next twelve months.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the Company expects to realize reductions to its mandatory deemed repatriation tax obligations and tax savings from interest deductions in future years aggregating to approximately $168 million. Of this amount, $34 million of the interest savings from the interest paid with respect to years 2008 through 2012 is classified as a deferred tax asset due to interest expense limitation rules.</w:t>
      </w:r>
    </w:p>
    <w:p>
      <w:pPr>
        <w:spacing w:after="0" w:line="20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December 29, 2023, with the exception of the IRS matter discussed above,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Loss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cumulative dividends on Preferred Stock</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-1513205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-1513205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-1513205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net loss per share attributable to common shareholders is computed using (i) net loss less (ii) dividends paid to holders of Preferred Shares less</w:t>
      </w:r>
    </w:p>
    <w:p>
      <w:pPr>
        <w:spacing w:after="0" w:line="16" w:lineRule="exact"/>
        <w:rPr>
          <w:sz w:val="20"/>
          <w:szCs w:val="20"/>
          <w:color w:val="auto"/>
        </w:rPr>
      </w:pPr>
    </w:p>
    <w:p>
      <w:pPr>
        <w:ind w:right="80" w:firstLine="8"/>
        <w:spacing w:after="0" w:line="250" w:lineRule="auto"/>
        <w:tabs>
          <w:tab w:leader="none" w:pos="3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attributable to participating securities divided by (iv) weighted average basic shares outstanding. Diluted net income or loss per share attributable to common shareholders is computed as (i) basic net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spacing w:after="0" w:line="205"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employee stock options, RSUs and PSUs, rights to purchase shares of common stock under the Company’s ESPP, shares issuable in connection with the Company’s convertible notes, and the Preferred Shares. For the three and six months ended December 29, 2023 and December 30, 2022, the Company recorded a net loss and all shares subject to outstanding equity awards were excluded from the calculation of diluted shares for those periods because their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In this regard, in the six months ended December 29, 2023, the Company reassessed existing capacity development plans and made a decision to cancel certain projects to expand capacity in its Penang, Malaysia facility, resulting in the impairment of existing construction in progress and the recognition of a liability for certain contract termination costs. The Company has also taken actions to reduce the amount of capital invested in facilities, including the sale-leaseback of its facility in Milpitas, California in September 2023. The Company recorded the following net charges related to these actions for the periods noted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1"/>
                <w:szCs w:val="11"/>
                <w:color w:val="auto"/>
              </w:rPr>
            </w:pPr>
          </w:p>
        </w:tc>
        <w:tc>
          <w:tcPr>
            <w:tcW w:w="1240" w:type="dxa"/>
            <w:vAlign w:val="bottom"/>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200" w:type="dxa"/>
            <w:vAlign w:val="bottom"/>
          </w:tcPr>
          <w:p>
            <w:pPr>
              <w:spacing w:after="0"/>
              <w:rPr>
                <w:sz w:val="16"/>
                <w:szCs w:val="16"/>
                <w:color w:val="auto"/>
              </w:rPr>
            </w:pPr>
          </w:p>
        </w:tc>
        <w:tc>
          <w:tcPr>
            <w:tcW w:w="11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5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9"/>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impairments</w:t>
            </w: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sale-leaseback of facility</w:t>
            </w:r>
          </w:p>
        </w:tc>
        <w:tc>
          <w:tcPr>
            <w:tcW w:w="1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employee termination, asset impairment, and other charges</w:t>
            </w:r>
          </w:p>
        </w:tc>
        <w:tc>
          <w:tcPr>
            <w:tcW w:w="116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center"/>
              <w:ind w:left="882"/>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during the six months ended December 29,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30, 2023</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72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December 29, 2023</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48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Supplier Finance Program</w:t>
      </w:r>
    </w:p>
    <w:p>
      <w:pPr>
        <w:spacing w:after="0" w:line="256"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193"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spacing w:after="0" w:line="197"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Company’s outstanding payment obligations to vendors eligible to participate under its supplier finance program were $36 million and $38 million as of December 29, 2023 and June 30, 2023, respectively, and are included within Accounts payable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41"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disclosures regarding the status of statutory notices of deficiency issued by the IRS with regard to tax years 2008 through 2015, see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Revision of Previously Issued Financial Statements</w:t>
      </w:r>
    </w:p>
    <w:p>
      <w:pPr>
        <w:spacing w:after="0" w:line="243" w:lineRule="exact"/>
        <w:rPr>
          <w:sz w:val="20"/>
          <w:szCs w:val="20"/>
          <w:color w:val="auto"/>
        </w:rPr>
      </w:pPr>
    </w:p>
    <w:p>
      <w:pPr>
        <w:ind w:right="80" w:firstLine="324"/>
        <w:spacing w:after="0" w:line="241" w:lineRule="auto"/>
        <w:rPr>
          <w:sz w:val="20"/>
          <w:szCs w:val="20"/>
          <w:color w:val="auto"/>
        </w:rPr>
      </w:pPr>
      <w:r>
        <w:rPr>
          <w:rFonts w:ascii="Times New Roman" w:cs="Times New Roman" w:eastAsia="Times New Roman" w:hAnsi="Times New Roman"/>
          <w:sz w:val="18"/>
          <w:szCs w:val="18"/>
          <w:color w:val="auto"/>
        </w:rPr>
        <w:t>As described in Note 1, in connection with the preparation of its Condensed Consolidated Financial Statements as of and for the three and six months ended December 29, 2023, the Company identified certain errors related to the Company’s reporting and recording of its interests in its equity method investments in Flash Ventures. These errors related to unadjusted differences between the Flash Ventures’ application of Japanese generally accepted accounting principles to certain lease-related transactions compared to the applicable U.S. generally accepted accounting principles. These unadjusted differences resulted in differences in the equity in earnings from these entities recognized by the Company in Other income (expense), net and the carrying value of the Company’s equity method investments in the Flash Ventures.</w:t>
      </w:r>
    </w:p>
    <w:p>
      <w:pPr>
        <w:spacing w:after="0" w:line="211" w:lineRule="exact"/>
        <w:rPr>
          <w:sz w:val="20"/>
          <w:szCs w:val="20"/>
          <w:color w:val="auto"/>
        </w:rPr>
      </w:pPr>
    </w:p>
    <w:p>
      <w:pPr>
        <w:ind w:right="600"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tables provide a summary of the revisions made to the Company’s Condensed Consolidated Financial Statements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December 30, 2022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6"/>
          </w:tcPr>
          <w:p>
            <w:pPr>
              <w:jc w:val="center"/>
              <w:ind w:left="802"/>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544"/>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6"/>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Six Months Ended December 30, 2022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6"/>
        </w:trPr>
        <w:tc>
          <w:tcPr>
            <w:tcW w:w="6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6"/>
          </w:tcPr>
          <w:p>
            <w:pPr>
              <w:jc w:val="center"/>
              <w:ind w:left="802"/>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December 30, 2022</w:t>
            </w: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Loss</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0"/>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2"/>
        </w:trPr>
        <w:tc>
          <w:tcPr>
            <w:tcW w:w="67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 before tax</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6"/>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Six Months Ended December 30, 2022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Loss</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2"/>
        </w:trPr>
        <w:tc>
          <w:tcPr>
            <w:tcW w:w="67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 before tax</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6"/>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Six Months Ended December 30, 2022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Pr>
          <w:p>
            <w:pPr>
              <w:spacing w:after="0"/>
              <w:rPr>
                <w:sz w:val="11"/>
                <w:szCs w:val="11"/>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0"/>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tc>
        <w:tc>
          <w:tcPr>
            <w:tcW w:w="180" w:type="dxa"/>
            <w:vAlign w:val="bottom"/>
          </w:tcPr>
          <w:p>
            <w:pPr>
              <w:spacing w:after="0"/>
              <w:rPr>
                <w:sz w:val="13"/>
                <w:szCs w:val="13"/>
                <w:color w:val="auto"/>
              </w:rPr>
            </w:pPr>
          </w:p>
        </w:tc>
        <w:tc>
          <w:tcPr>
            <w:tcW w:w="13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3"/>
                <w:szCs w:val="13"/>
                <w:color w:val="auto"/>
              </w:rPr>
            </w:pPr>
          </w:p>
        </w:tc>
        <w:tc>
          <w:tcPr>
            <w:tcW w:w="13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3"/>
                <w:szCs w:val="13"/>
                <w:color w:val="auto"/>
              </w:rPr>
            </w:pPr>
          </w:p>
        </w:tc>
        <w:tc>
          <w:tcPr>
            <w:tcW w:w="12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0"/>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 as of:</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July 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9,039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30, 2022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8,711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as of:</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July 1, 2022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December 30, 2022</w:t>
            </w: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for the three months ended:</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September 30, 2022</w:t>
            </w: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30, 2022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544"/>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180" w:type="dxa"/>
            <w:vAlign w:val="bottom"/>
          </w:tcPr>
          <w:p>
            <w:pPr>
              <w:spacing w:after="0"/>
              <w:rPr>
                <w:sz w:val="11"/>
                <w:szCs w:val="11"/>
                <w:color w:val="auto"/>
              </w:rPr>
            </w:pPr>
          </w:p>
        </w:tc>
        <w:tc>
          <w:tcPr>
            <w:tcW w:w="1300" w:type="dxa"/>
            <w:vAlign w:val="bottom"/>
          </w:tcPr>
          <w:p>
            <w:pPr>
              <w:jc w:val="center"/>
              <w:ind w:right="18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1"/>
                <w:szCs w:val="11"/>
                <w:color w:val="auto"/>
              </w:rPr>
            </w:pPr>
          </w:p>
        </w:tc>
        <w:tc>
          <w:tcPr>
            <w:tcW w:w="13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1"/>
                <w:szCs w:val="11"/>
                <w:color w:val="auto"/>
              </w:rPr>
            </w:pPr>
          </w:p>
        </w:tc>
        <w:tc>
          <w:tcPr>
            <w:tcW w:w="12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113</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1,509</w:t>
            </w:r>
          </w:p>
        </w:tc>
        <w:tc>
          <w:tcPr>
            <w:tcW w:w="160" w:type="dxa"/>
            <w:vAlign w:val="bottom"/>
          </w:tcPr>
          <w:p>
            <w:pPr>
              <w:spacing w:after="0"/>
              <w:rPr>
                <w:sz w:val="18"/>
                <w:szCs w:val="18"/>
                <w:color w:val="auto"/>
              </w:rPr>
            </w:pP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24,429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7,424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10,847</w:t>
            </w:r>
          </w:p>
        </w:tc>
        <w:tc>
          <w:tcPr>
            <w:tcW w:w="160" w:type="dxa"/>
            <w:vAlign w:val="bottom"/>
          </w:tcPr>
          <w:p>
            <w:pPr>
              <w:spacing w:after="0"/>
              <w:rPr>
                <w:sz w:val="18"/>
                <w:szCs w:val="18"/>
                <w:color w:val="auto"/>
              </w:rPr>
            </w:pP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10,964</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24,429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300" w:firstLine="324"/>
        <w:spacing w:after="0" w:line="220"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30, 2023. See also “Forward-Looking Statements” immediately prior to Part I, Item 1 in this Quarterly Report on Form 10-Q.</w:t>
      </w:r>
    </w:p>
    <w:p>
      <w:pPr>
        <w:spacing w:after="0" w:line="22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3" w:lineRule="exact"/>
        <w:rPr>
          <w:sz w:val="20"/>
          <w:szCs w:val="20"/>
          <w:color w:val="auto"/>
        </w:rPr>
      </w:pPr>
    </w:p>
    <w:p>
      <w:pPr>
        <w:ind w:right="180" w:firstLine="324"/>
        <w:spacing w:after="0" w:line="242" w:lineRule="auto"/>
        <w:rPr>
          <w:sz w:val="20"/>
          <w:szCs w:val="20"/>
          <w:color w:val="auto"/>
        </w:rPr>
      </w:pPr>
      <w:r>
        <w:rPr>
          <w:rFonts w:ascii="Times New Roman" w:cs="Times New Roman" w:eastAsia="Times New Roman" w:hAnsi="Times New Roman"/>
          <w:sz w:val="18"/>
          <w:szCs w:val="18"/>
          <w:color w:val="auto"/>
        </w:rPr>
        <w:t>We are on a mission to unlock the potential of data by harnessing the possibility to use it. We are a leading developer, manufacturer, and provider of data storage devices based on both NAND flash and hard disk drive technologies. With dedicated flash-based products (“Flash”) and hard disk drives (“HDD”) business units driving advancements in storage technologies, our broad and ever-expanding portfolio delivers powerful Flash and HDD storage solutions for everyone from students, gamers, and home offices to the largest enterprises and public clouds to capture, preserve, access, and transform an ever-increasing diversity of data.</w:t>
      </w:r>
    </w:p>
    <w:p>
      <w:pPr>
        <w:spacing w:after="0" w:line="212"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Our broad portfolio of technology and products address our multiple end markets: “Cloud”, “Client” and “Consumer”. Cloud represents a large and growing end market comprised primarily of products for public or private cloud environments and enterprise customers.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2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2024, which will end on June 28, 2024, and fiscal year 2023, which ended June 30, 2023, are each comprised of 52 weeks, with all quarters presented consisting of 13 weeks.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w:t>
      </w:r>
    </w:p>
    <w:p>
      <w:pPr>
        <w:spacing w:after="0" w:line="227" w:lineRule="exact"/>
        <w:rPr>
          <w:sz w:val="20"/>
          <w:szCs w:val="20"/>
          <w:color w:val="auto"/>
        </w:rPr>
      </w:pPr>
    </w:p>
    <w:p>
      <w:pPr>
        <w:ind w:right="200" w:firstLine="324"/>
        <w:spacing w:after="0" w:line="241" w:lineRule="auto"/>
        <w:rPr>
          <w:sz w:val="20"/>
          <w:szCs w:val="20"/>
          <w:color w:val="auto"/>
        </w:rPr>
      </w:pPr>
      <w:r>
        <w:rPr>
          <w:rFonts w:ascii="Times New Roman" w:cs="Times New Roman" w:eastAsia="Times New Roman" w:hAnsi="Times New Roman"/>
          <w:sz w:val="18"/>
          <w:szCs w:val="18"/>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We believe the separation will better position each business unit to execute innovative technology and product development, capitalize on unique growth opportunities, extend respective leadership positions, and operate more efficiently with distinct capital structures. The completion of the planned separation is subject to certain conditions, including final approval by our Board of Directors. We are targeting to complete the separation of the businesses in the second half of calendar year 2024.</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7"/>
          <w:szCs w:val="17"/>
          <w:color w:val="auto"/>
        </w:rPr>
        <w:t>Macroeconomic factors such as inflation, higher interest rates and recession concerns have softened demand for our products, with certain customers reducing purchases as they adjust their production levels and right-size their inventories. As a result, we and our industry have experienced a supply-demand imbalance, which has resulted in reduced shipments and negatively impacted pricing, particularly in Flash. To adapt to these conditions, we have implemented measures to reduce operating expenses and to proactively manage supply and inventory to align with demand and improve our capital efficiency, while continuing to deploy innovative products. These actions have enabled us to scale back on capital expenditures, consolidate production lines and reduce production bit growth since the beginning of 2023 in order to better align with market demand. These actions have resulted in incremental charges for employee termination, asset impairment and other, and manufacturing underutilization charges in Flash and HDD, and are expected to continue to negatively impact near-term results. While the supply-demand imbalance has recently started to show signs of stabilization, particularly in Client and Consumer, we continue to face a dynamic market environment. We believe digital transformation will continue to drive long-term growth for data storage in both Flash and HDD and believe that the strategy we have been executing will enable us to improve through-cycle profitability into the future.</w:t>
      </w:r>
    </w:p>
    <w:p>
      <w:pPr>
        <w:spacing w:after="0" w:line="20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187"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for the year ended June 30, 2023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Quarterly Report on Form 10-Q for more information regarding the risks we face as a result of macroeconomic conditions and supply chain disruptions.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In August 2023, we drew $600 million principal amount (the “Delayed Draw Term Loan”) under a loan agreement we entered into in January 2023 and amended in June 2023, which allowed us to draw a single loan of up to $600 million through August 14, 2023. Proceeds from this loan were primarily used for payments on our tax liability to the IRS for the years 2008 through 2012. During the three months ended December 29, 2023, we repaid $300 million of the principal amount of the Delayed Draw Term Loan. The remaining outstanding borrowings on this loan will mature on June 28, 2024.</w:t>
      </w:r>
    </w:p>
    <w:p>
      <w:pPr>
        <w:spacing w:after="0" w:line="208"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On November 3, 2023, we issued $1.60 billion aggregate principal amount of convertible senior notes which bear interest at an annual rate of 3.00% and mature on November 15, 2028, unless earlier repurchased, redeemed or converted (the “2028 Convertible Notes”). We received net proceeds of approximately $1.56 billion after issuance costs. Contemporaneously with the issuance of the 2028 Convertible Notes, we entered into individually negotiated transactions with certain holders of our existing 1.50% convertible senior notes due February 1, 2024 (the “2024 Convertible Notes”) to repurchase approximately $508 million aggregate principal amount of such notes at an immaterial discount using net proceeds from the offering of the 2028 Convertible Notes. In connection with the issuance of the 2028 Convertible Notes, we also used approximately $155 million of the net proceeds from the offering to pay the cost of entering into capped call contracts with a cap price of approximately $70.26 to hedge the potential dilution impact of the conversion feature. On February 1, 2024, we used a portion of the remaining net proceeds from the offering of the 2028 Convertible Notes to settle the remaining 2024 Convertible Notes in accordance with their original terms for an aggregate cash principal payment of $592 million plus interest.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 xml:space="preserve">Additional information regarding our indebtedness, including the principal repayment terms, interest rates, covenants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in our Annual Report on Form 10-K for the fiscal year ended June 30, 2023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Part I, Item 1 of this Quarterly Report on Form 10-Q.</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2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completed a sale and leaseback of our facility in Milpitas, California. We received net proceeds of $191 million in cash and recorded a gain of $85 million on the sale. We are leasing back the facility at an annual lease rate of $16 million for the first year, increasing by 3% per year thereafter through January 1, 2039. The lease includes three 5-year renewal options and one 4-year renewal option for the ability to extend through December 2057.</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Asset Impairment and Contract Termination Costs</w:t>
      </w:r>
    </w:p>
    <w:p>
      <w:pPr>
        <w:spacing w:after="0" w:line="239" w:lineRule="exact"/>
        <w:rPr>
          <w:sz w:val="20"/>
          <w:szCs w:val="20"/>
          <w:color w:val="auto"/>
        </w:rPr>
      </w:pPr>
    </w:p>
    <w:p>
      <w:pPr>
        <w:ind w:right="140" w:firstLine="324"/>
        <w:spacing w:after="0" w:line="243" w:lineRule="auto"/>
        <w:rPr>
          <w:sz w:val="20"/>
          <w:szCs w:val="20"/>
          <w:color w:val="auto"/>
        </w:rPr>
      </w:pPr>
      <w:r>
        <w:rPr>
          <w:rFonts w:ascii="Times New Roman" w:cs="Times New Roman" w:eastAsia="Times New Roman" w:hAnsi="Times New Roman"/>
          <w:sz w:val="18"/>
          <w:szCs w:val="18"/>
          <w:color w:val="auto"/>
        </w:rPr>
        <w:t>In connection with the actions described in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above, we reassessed our existing capacity development plans and made a decision in the first quarter of 2024 to cancel certain projects to expand capacity in our Penang, Malaysia facility. This resulted in a $94 million impairment of existing construction in progress and recognition of $29 million for certain contract termination costs during the six months ended December 29, 2023.</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Resolution</w:t>
      </w:r>
    </w:p>
    <w:p>
      <w:pPr>
        <w:spacing w:after="0" w:line="241"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8"/>
          <w:szCs w:val="18"/>
          <w:color w:val="auto"/>
        </w:rPr>
        <w:t xml:space="preserve">As previously disclosed, we reached a final agreement with the IRS and received notices of deficiency with respect to years 2008 through 2012 and have tentatively reached a basis for resolving the notices of proposed adjustments with respect to years 2013 through 2015. During the six months ended December 29, 2023, we made payments aggregating $523 million for tax and interest with respect to years 2008 through 2012 and have a remaining liability of $187 million as of December 29, 2023 related to all years from 2008 through 2015. We expect to pay any remaining balance with respect to this matter within the next twelve months. Additional information regarding these settlements and our assessment of the potential tax and interest payments we expect to pay in connection with the settlements is provided in our discussion of Income tax expense in our “Results of Operations” below, as well as in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of the Notes to Condensed Consolidated Financial Statements, and in the “Short- and Long-term Liquidity - </w:t>
      </w:r>
      <w:r>
        <w:rPr>
          <w:rFonts w:ascii="Times New Roman" w:cs="Times New Roman" w:eastAsia="Times New Roman" w:hAnsi="Times New Roman"/>
          <w:sz w:val="18"/>
          <w:szCs w:val="18"/>
          <w:i w:val="1"/>
          <w:iCs w:val="1"/>
          <w:color w:val="auto"/>
        </w:rPr>
        <w:t>Unrecognized Tax Benefits</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Second Quarter and First Half Overview</w:t>
      </w:r>
    </w:p>
    <w:p>
      <w:pPr>
        <w:spacing w:after="0" w:line="254"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right"/>
              <w:ind w:right="579"/>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740" w:type="dxa"/>
            <w:vAlign w:val="bottom"/>
            <w:gridSpan w:val="3"/>
          </w:tcPr>
          <w:p>
            <w:pPr>
              <w:jc w:val="right"/>
              <w:ind w:right="519"/>
              <w:spacing w:after="0" w:line="13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83.8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83.0</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9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06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16.8</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10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0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23.2</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106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7"/>
                <w:szCs w:val="17"/>
                <w:color w:val="auto"/>
              </w:rPr>
            </w:pPr>
          </w:p>
        </w:tc>
        <w:tc>
          <w:tcPr>
            <w:tcW w:w="1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4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4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2"/>
        </w:trPr>
        <w:tc>
          <w:tcPr>
            <w:tcW w:w="4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6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 w:type="dxa"/>
            <w:vAlign w:val="bottom"/>
          </w:tcPr>
          <w:p>
            <w:pPr>
              <w:spacing w:after="0"/>
              <w:rPr>
                <w:sz w:val="17"/>
                <w:szCs w:val="17"/>
                <w:color w:val="auto"/>
              </w:rPr>
            </w:pPr>
          </w:p>
        </w:tc>
        <w:tc>
          <w:tcPr>
            <w:tcW w:w="1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(12.3)</w:t>
            </w: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0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tcBorders>
              <w:top w:val="single" w:sz="8" w:color="auto"/>
            </w:tcBorders>
          </w:tcPr>
          <w:p>
            <w:pPr>
              <w:spacing w:after="0"/>
              <w:rPr>
                <w:sz w:val="17"/>
                <w:szCs w:val="17"/>
                <w:color w:val="auto"/>
              </w:rPr>
            </w:pPr>
          </w:p>
        </w:tc>
        <w:tc>
          <w:tcPr>
            <w:tcW w:w="1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0" w:type="dxa"/>
            <w:vAlign w:val="bottom"/>
            <w:tcBorders>
              <w:top w:val="single" w:sz="8" w:color="auto"/>
            </w:tcBorders>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54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740" w:type="dxa"/>
            <w:vAlign w:val="bottom"/>
            <w:gridSpan w:val="3"/>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38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89.8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77.9</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(143)</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9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22.1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(918)</w:t>
            </w:r>
          </w:p>
        </w:tc>
        <w:tc>
          <w:tcPr>
            <w:tcW w:w="104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(200)</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8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(92)</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0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24.2</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(275)</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38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Pr>
          <w:p>
            <w:pPr>
              <w:spacing w:after="0"/>
              <w:rPr>
                <w:sz w:val="17"/>
                <w:szCs w:val="17"/>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4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(63)</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2"/>
        </w:trPr>
        <w:tc>
          <w:tcPr>
            <w:tcW w:w="4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38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(16.3)</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 w:type="dxa"/>
            <w:vAlign w:val="bottom"/>
          </w:tcPr>
          <w:p>
            <w:pPr>
              <w:spacing w:after="0"/>
              <w:rPr>
                <w:sz w:val="17"/>
                <w:szCs w:val="17"/>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(85)</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38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(16.8)</w:t>
            </w: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tcBorders>
              <w:top w:val="single" w:sz="8" w:color="auto"/>
            </w:tcBorders>
          </w:tcPr>
          <w:p>
            <w:pPr>
              <w:spacing w:after="0"/>
              <w:rPr>
                <w:sz w:val="17"/>
                <w:szCs w:val="17"/>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(17.3)%</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54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a summary of our segment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3,221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2,561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212"/>
        </w:trPr>
        <w:tc>
          <w:tcPr>
            <w:tcW w:w="4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3,107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5,782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6,843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0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Recovery from contamination incident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-2527935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-2527935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-2527935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9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Three and Six Months Ended December 29, 2023 to Three and Six Months Ended December 30, 2022</w:t>
      </w:r>
    </w:p>
    <w:p>
      <w:pPr>
        <w:spacing w:after="0" w:line="24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consolidated net revenue for the three and six months ended December 29, 2023 from the comparable period in the prior year reflected the current supply-demand imbalance and macroeconomic pressures described in the “Key Developments -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section above.</w:t>
      </w:r>
    </w:p>
    <w:p>
      <w:pPr>
        <w:spacing w:after="0" w:line="189" w:lineRule="exact"/>
        <w:rPr>
          <w:sz w:val="20"/>
          <w:szCs w:val="20"/>
          <w:color w:val="auto"/>
        </w:rPr>
      </w:pPr>
    </w:p>
    <w:p>
      <w:pPr>
        <w:ind w:right="140" w:firstLine="324"/>
        <w:spacing w:after="0" w:line="237" w:lineRule="auto"/>
        <w:rPr>
          <w:sz w:val="20"/>
          <w:szCs w:val="20"/>
          <w:color w:val="auto"/>
        </w:rPr>
      </w:pPr>
      <w:r>
        <w:rPr>
          <w:rFonts w:ascii="Times New Roman" w:cs="Times New Roman" w:eastAsia="Times New Roman" w:hAnsi="Times New Roman"/>
          <w:sz w:val="18"/>
          <w:szCs w:val="18"/>
          <w:color w:val="auto"/>
        </w:rPr>
        <w:t xml:space="preserve">Flash revenue was relatively flat for the three months ended December 29, 2023 from the comparable period in the prior year, primarily reflecting a 21% increase in exabytes sold, offset by a 17% decline in average selling prices per gigabyte. The increase in exabytes sold was due to improved demand from our OEM customers in our Client end market and from all products across our Consumer end market. The decline in average selling prices per gigabyte was due to the supply-demand imbalance described in the “Key Developments -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section above as well as a shift in product mix. Flash revenue decreased 5% for the six months ended December 29, 2023 from the comparable period in the prior year, primarily reflecting a 29% decline in average selling prices per gigabyte, partially offset by a 34% increase in exabytes sold. The increase in exabytes sold and the decline in average selling prices per gigabyte were attributable to the same factors described above for the three-month period.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HDD revenue decreased 6% for the three months ended December 29, 2023 from the comparable period in the prior year, primarily as a result of an</w:t>
      </w:r>
    </w:p>
    <w:p>
      <w:pPr>
        <w:spacing w:after="0" w:line="16"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8% decline in average selling prices per gigabyte, partially offset by a 2% increase in exabytes sold. The decline in average selling prices per gigabyte was due to a shift in the product mix to larger capacity drives. HDD revenue decreased 26% for the six months ended December 29, 2023 from the comparable period in the prior year primarily as a result of a 24% decrease in exabytes sold, which was driven by lower shipments to customers in our Cloud end market as they adjusted their production levels and right-sized their inventories and a 2% decline in average selling prices per gigabyte primarily attributable to a shift in product mix.</w:t>
      </w:r>
    </w:p>
    <w:p>
      <w:pPr>
        <w:spacing w:after="0" w:line="200"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 xml:space="preserve">Cloud revenue decreased 13% for the three months ended December 29, 2023 from the comparable period in the prior year, primarily reflecting a 17% decline in average selling prices per gigabyte, partially offset by a 5% increase in exabytes sold. The decline in average selling prices per gigabyte was primarily due to the decline in Flash pricing caused by the supply-demand imbalance described in the “Key Developments -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xml:space="preserve">” section above. The increase in exabytes sold was driven by higher shipments of our HDD products, partially offset by lower Flash bit shipments. Cloud revenue decreased 36% for the six months ended December 29, 2023 from the comparable period in the prior year, which primarily reflected a 28% decrease in exabytes sold and an 11% decline in average selling prices per gigabyte attributable to the factors described in the “Key Developments - </w:t>
      </w:r>
      <w:r>
        <w:rPr>
          <w:rFonts w:ascii="Times New Roman" w:cs="Times New Roman" w:eastAsia="Times New Roman" w:hAnsi="Times New Roman"/>
          <w:sz w:val="18"/>
          <w:szCs w:val="18"/>
          <w:i w:val="1"/>
          <w:iCs w:val="1"/>
          <w:color w:val="auto"/>
        </w:rPr>
        <w:t>Operational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w:t>
      </w:r>
      <w:r>
        <w:rPr>
          <w:rFonts w:ascii="Times New Roman" w:cs="Times New Roman" w:eastAsia="Times New Roman" w:hAnsi="Times New Roman"/>
          <w:sz w:val="18"/>
          <w:szCs w:val="18"/>
          <w:color w:val="auto"/>
        </w:rPr>
        <w:t>” section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31" w:lineRule="auto"/>
        <w:rPr>
          <w:sz w:val="20"/>
          <w:szCs w:val="20"/>
          <w:color w:val="auto"/>
        </w:rPr>
      </w:pPr>
      <w:r>
        <w:rPr>
          <w:rFonts w:ascii="Times New Roman" w:cs="Times New Roman" w:eastAsia="Times New Roman" w:hAnsi="Times New Roman"/>
          <w:sz w:val="18"/>
          <w:szCs w:val="18"/>
          <w:color w:val="auto"/>
        </w:rPr>
        <w:t xml:space="preserve">Client revenue increased 3% for the three months ended December 29, 2023 from the comparable period in the prior year, primarily reflecting a 14% increase in exabytes sold, partially offset by a 10% decline in average selling prices per gigabyte. The increase in exabytes sold was primarily driven by SSD shipments into PC applications. The decline in average selling prices per gigabyte was primarily due to the decline in Flash pricing caused by the supply-demand imbalance described in the “Key Developments -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section above. Client revenue decreased 2% for the six months ended December 29, 2023 from the comparable period in the prior year, primarily reflecting a 28% increase in exabytes sold, partially offset by a 23% decline in average selling prices per gigabyte. The increase in exabytes sold and the decline in average selling prices per gigabyte were attributable to the same factors described above for the three-month period.</w:t>
      </w:r>
    </w:p>
    <w:p>
      <w:pPr>
        <w:spacing w:after="0" w:line="198" w:lineRule="exact"/>
        <w:rPr>
          <w:sz w:val="20"/>
          <w:szCs w:val="20"/>
          <w:color w:val="auto"/>
        </w:rPr>
      </w:pPr>
    </w:p>
    <w:p>
      <w:pPr>
        <w:ind w:firstLine="324"/>
        <w:spacing w:after="0" w:line="228" w:lineRule="auto"/>
        <w:rPr>
          <w:sz w:val="20"/>
          <w:szCs w:val="20"/>
          <w:color w:val="auto"/>
        </w:rPr>
      </w:pPr>
      <w:r>
        <w:rPr>
          <w:rFonts w:ascii="Times New Roman" w:cs="Times New Roman" w:eastAsia="Times New Roman" w:hAnsi="Times New Roman"/>
          <w:sz w:val="18"/>
          <w:szCs w:val="18"/>
          <w:color w:val="auto"/>
        </w:rPr>
        <w:t xml:space="preserve">Consumer revenue increased 6% for the three months ended December 29, 2023 from the comparable period in the prior year, primarily reflecting a 4% increase in average selling prices per gigabyte and 2% increase in exabytes sold. The increase in average selling prices per gigabyte was driven by more favorable product mix. The increase in exabytes sold was driven by improved demand across our products in Flash. Consumer revenue increased 7% for the six months ended December 29, 2023 from the comparable period in the prior year, primarily reflecting a 13% increase in exabytes sold, partially offset by a 6% decline in average selling prices per gigabyte. The increase in exabytes sold was primarily driven by improved demand across our products in Flash. The decline in average selling prices per gigabyte was primarily due to the decline in Flash pricing caused by the supply-demand imbalance described in the “Key Developments - </w:t>
      </w:r>
      <w:r>
        <w:rPr>
          <w:rFonts w:ascii="Times New Roman" w:cs="Times New Roman" w:eastAsia="Times New Roman" w:hAnsi="Times New Roman"/>
          <w:sz w:val="18"/>
          <w:szCs w:val="18"/>
          <w:i w:val="1"/>
          <w:iCs w:val="1"/>
          <w:color w:val="auto"/>
        </w:rPr>
        <w:t>Operational Update</w:t>
      </w:r>
      <w:r>
        <w:rPr>
          <w:rFonts w:ascii="Times New Roman" w:cs="Times New Roman" w:eastAsia="Times New Roman" w:hAnsi="Times New Roman"/>
          <w:sz w:val="18"/>
          <w:szCs w:val="18"/>
          <w:color w:val="auto"/>
        </w:rPr>
        <w:t>” section above</w:t>
      </w:r>
    </w:p>
    <w:p>
      <w:pPr>
        <w:spacing w:after="0" w:line="217" w:lineRule="exact"/>
        <w:rPr>
          <w:sz w:val="20"/>
          <w:szCs w:val="20"/>
          <w:color w:val="auto"/>
        </w:rPr>
      </w:pPr>
    </w:p>
    <w:p>
      <w:pPr>
        <w:ind w:right="220" w:firstLine="324"/>
        <w:spacing w:after="0" w:line="236" w:lineRule="auto"/>
        <w:rPr>
          <w:sz w:val="20"/>
          <w:szCs w:val="20"/>
          <w:color w:val="auto"/>
        </w:rPr>
      </w:pPr>
      <w:r>
        <w:rPr>
          <w:rFonts w:ascii="Times New Roman" w:cs="Times New Roman" w:eastAsia="Times New Roman" w:hAnsi="Times New Roman"/>
          <w:sz w:val="18"/>
          <w:szCs w:val="18"/>
          <w:color w:val="auto"/>
        </w:rPr>
        <w:t>The changes in net revenue by geography for the three and six months ended December 29, 2023 from the comparable period in the prior year reflected higher revenue in the Asia region from Cloud customers, particularly in China and a decline in the Americas as certain large customers reduced purchases to align their inventories with current market demand.</w:t>
      </w:r>
    </w:p>
    <w:p>
      <w:pPr>
        <w:spacing w:after="0" w:line="22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top 10 customers accounted for 39% of our net revenue for the three months ended December 29, 2023, compared to 47% of our net revenue for the three months ended December 30, 2022. Our top 10 customers accounted for 39% of our net revenue for the six months ended December 29, 2023, compared to 48% of our net revenue for the six months ended December 30, 2022. For each of the three and six months ended December 29, 2023 and December 30, 2022, no single customer accounted for 10% or more of our net revenue.</w:t>
      </w:r>
    </w:p>
    <w:p>
      <w:pPr>
        <w:spacing w:after="0" w:line="20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18% and 19% of gross revenue for the three and six months ended December 29, 2023, respectively.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4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Consolidated gross profit decreased by $36 million for the three months ended December 29, 2023 from the comparable period in the prior year, which primarily reflected charges of approximately $156 million ($107 million in Flash and $49 million in HDD) for unabsorbed manufacturing overhead costs as a result of the reduced utilization of our manufacturing capacity, partially offset by a $36 million recovery from insurance carriers recognized in the current year period related to a contamination incident that occurred at Flash Ventures’ fabrication facilities in both Yokkaichi and Kitakami, Japan in 2022, compared to $100 million of such charges in the same period in the prior year (all in HDD). Consolidated gross margin decreased 1 percentage point for the three months ended December 29, 2023, compared to the same period in the prior year, due to the net charges noted above. Flash gross margin decreased by approximately 7 percentage points year over year, with approximately 3 percentage points of the decline due to the higher net charges in Flash in the current period as noted above and the remainder driven by the lower average selling prices per gigabyte. HDD gross margin increased by 4 percentage points year over year, which primarily reflected the higher net charges in HDD in the current period as noted above.</w:t>
      </w:r>
    </w:p>
    <w:p>
      <w:pPr>
        <w:spacing w:after="0" w:line="2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Consolidated gross profit decreased by $918 million for the six months ended December 29, 2023 from the comparable period in the prior year, which primarily reflected the decrease in revenue described above as well as charges of approximately $381 million ($249 million in Flash and $132 million in HDD) for unabsorbed manufacturing overhead costs, partially offset by the $36 million recovery from the contamination incident noted above, recognized in the current period compared to $100 million of such charges in the same period in the prior year (all in HDD). Consolidated gross margin decreased 12 percentage points for the six months ended December 29, 2023 from the comparable period in the prior year, with approximately 5 percentage points of the decline due to the higher net charges in the current period as noted above and the remainder primarily driven by the lower average selling prices per gigabyte in Flash. Flash gross margin decreased by approximately 21 percentage points year over year, with approximately 8 percentage points of the decline due to the higher net charges in Flash in the current period as noted above and the remainder driven by the lower average selling prices per gigabyte. HDD gross margin decreased by 1 percentage point year over year due to the higher net charges in HDD in the current period as noted above.</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1"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Research and development (“R&amp;D”) expense decreased $79 million for the three months ended December 29, 2023 from the comparable period in the prior year. The decline was primarily driven by a $40 million decrease in compensation and benefits due to lower headcount and a $25 million decrease due to lower depreciation expenses and reductions in R&amp;D project spending as well as other savings as we took actions to reduce expenses in the current environment. R&amp;D expense decreased $200 million for the six months ended December 29, 2023 from the comparable period in the prior year. The decline was primarily driven by a $110 million decrease in compensation and benefits due to lower headcount, and a $73 million decrease due to lower depreciation expenses and reductions in R&amp;D project spending as well as other savings as we took actions to reduce expenses in the current environment.</w:t>
      </w:r>
    </w:p>
    <w:p>
      <w:pPr>
        <w:spacing w:after="0" w:line="22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$52 million for the three months ended December 29, 2023 from the comparable period in the prior year. The decline was primarily driven by a $39 million decrease in intangible amortization expense as certain assets became fully amortized, a $17 million decrease in compensation and benefits due to lower headcount, and a $12 million decrease in professional services, partially offset by $20 million increase in strategic review costs. SG&amp;A expense decreased $92 million for the six months ended December 29, 2023 from the comparable period in the prior year. The decline was primarily driven by a $77 million decrease in intangible amortization expense, a $36 million decrease in compensation and benefits due to lower headcount, and a $18 million decrease in professional services, partially offset by a $37 million increase in strategic review costs.</w:t>
      </w:r>
    </w:p>
    <w:p>
      <w:pPr>
        <w:spacing w:after="0" w:line="216"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decreased $52 million for the three months ended December 29, 2023 from the comparable period in the prior year, reflecting fewer restructuring actions taken in the current period. Employee termination, asset impairment and other decreased $19 million for the six months ended December 29, 2023 from the comparable period in the prior year. The decrease primarily reflected fewer restructuring actions taken and a gain on the sale-leaseback of our Milpitas, California facility, partially offset by higher contract termination charges and asset impairments caused by project cancellations. For information regarding Employee termination, asset impairment and other, see Part I, Item 1, Note 14,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Termination, Asset Impairment, and Other </w:t>
      </w:r>
      <w:r>
        <w:rPr>
          <w:rFonts w:ascii="Times New Roman" w:cs="Times New Roman" w:eastAsia="Times New Roman" w:hAnsi="Times New Roman"/>
          <w:sz w:val="18"/>
          <w:szCs w:val="18"/>
          <w:color w:val="auto"/>
        </w:rPr>
        <w:t>of the Notes to Condensed Consolidated Financial Statements included in this Quarterly Report on Form 10-Q.</w:t>
      </w:r>
    </w:p>
    <w:p>
      <w:pPr>
        <w:spacing w:after="0" w:line="22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Business separation costs were $36 million for the three and six months ended December 29, 2023, primarily reflecting $33 million of charges for stamp duty associated with establishing new legal entities to support the planned separation of our Flash and HDD businesses.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w:t>
      </w:r>
    </w:p>
    <w:p>
      <w:pPr>
        <w:spacing w:after="0" w:line="241" w:lineRule="exact"/>
        <w:rPr>
          <w:sz w:val="20"/>
          <w:szCs w:val="20"/>
          <w:color w:val="auto"/>
        </w:rPr>
      </w:pPr>
    </w:p>
    <w:p>
      <w:pPr>
        <w:ind w:right="200" w:firstLine="324"/>
        <w:spacing w:after="0" w:line="273" w:lineRule="auto"/>
        <w:rPr>
          <w:sz w:val="20"/>
          <w:szCs w:val="20"/>
          <w:color w:val="auto"/>
        </w:rPr>
      </w:pPr>
      <w:r>
        <w:rPr>
          <w:rFonts w:ascii="Times New Roman" w:cs="Times New Roman" w:eastAsia="Times New Roman" w:hAnsi="Times New Roman"/>
          <w:sz w:val="17"/>
          <w:szCs w:val="17"/>
          <w:color w:val="auto"/>
        </w:rPr>
        <w:t>Total interest and other expense, net decreased $11 million for the three months ended December 29, 2023 from the comparable period in the prior year, primarily reflecting higher other income, net, of $37 million, driven by a gain on our strategic investments, and higher interest income of $9 million</w:t>
      </w:r>
    </w:p>
    <w:p>
      <w:pPr>
        <w:spacing w:after="0" w:line="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due to higher interest rates, partially offset by $35 million of higher interest expense resulting from increases in interest rates and the higher outstanding debt balance. Total interest and other expense, net increased $10 million for the six months ended December 29, 2023 from the comparable period in the</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prior year, primarily reflecting $63 million of higher interest expense resulting from increases in interest rates and the higher outstanding debt balance, partially offset by higher other income, net, of $38 million, driven by a net gain on our strategic investments and $15 million of higher interest income due to higher interest rates.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19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legal changes related to tax, climate, energy, and health care. The tax measures include, among other things, a corporate alternative minimum tax (“CAMT”) of 15% on corporations with three-year average annual adjusted financial statement income (“AFSI”) exceeding $1.0 billion. The CAMT is effective for us beginning with fiscal year 2024. We are not subject to the CAMT of 15% for fiscal year 2024 as our annual average AFSI did not exceed $1.0 billion for the preceding three-year period.</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40" w:type="dxa"/>
            <w:vAlign w:val="bottom"/>
            <w:gridSpan w:val="3"/>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4"/>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31"/>
        </w:trPr>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20" w:type="dxa"/>
            <w:vAlign w:val="bottom"/>
          </w:tcPr>
          <w:p>
            <w:pPr>
              <w:jc w:val="right"/>
              <w:ind w:right="28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20" w:type="dxa"/>
            <w:vAlign w:val="bottom"/>
          </w:tcPr>
          <w:p>
            <w:pPr>
              <w:jc w:val="right"/>
              <w:ind w:right="263"/>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4"/>
          </w:tcPr>
          <w:p>
            <w:pPr>
              <w:jc w:val="right"/>
              <w:ind w:right="1124"/>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(259)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(941)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(288)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18"/>
                <w:szCs w:val="18"/>
                <w:color w:val="auto"/>
              </w:rPr>
            </w:pPr>
          </w:p>
        </w:tc>
        <w:tc>
          <w:tcPr>
            <w:tcW w:w="13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132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-556895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-556895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Beginning in 2023, the 2017 Act has required us to capitalize and amortize R&amp;D expenses rather than expensing them in the year incurred. The tax effects related to the capitalization of R&amp;D expenses are included in the effective tax rate for the three and six months ended December 29, 2023, but did not have a material impact on our effective tax rate. The primary drivers of the difference between the effective tax rate for the three and six months ended December 29, 2023 and the U.S. Federal statutory rate of 21% are the relative mix of earnings and losses by jurisdiction, the deduction for foreign-derived intangible income, credits, and tax holidays in Malaysia, the Philippines and Thailand that have or will expire at various dates during fiscal years 2024 through 2031. On November 1, 2023, one of our tax holidays in Malaysia expired. We have applied for an extension and anticipate it will apply retroactively and begin on November 2, 2023. Because the exact terms of the extension are not currently known, we are applying the Malaysia corporate statutory tax rate on the expired tax holiday income. If a retroactive extension is granted, we will make an adjustment to our effective tax rate in that period. The effective tax rate for the six months ended December 29, 2023 includes the discrete effect of a net decrease of $30 million to the liability for unrecognized tax benefits, which includes interest and offsetting tax benefits, as a result of adjustments to align with IRS calculations.</w:t>
      </w:r>
    </w:p>
    <w:p>
      <w:pPr>
        <w:spacing w:after="0" w:line="233"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30, 2022 and the U.S. Federal statutory rate of 21% were the relative mix of earnings and losses by jurisdiction, the deduction for foreign derived intangible income, credits, and tax holidays in Malaysia, the Philippines and Thailand.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The 2017 Act requires us to capitalize and amortize R&amp;D expenses rather than expensing them in the year incurred. As described above, these capitalized expenses are included in our effective tax rate for the three and six months ended December 29, 2023, but did not have a material impact on the effective tax rate in those periods due to our reduced profitability. Mandatory capitalization of R&amp;D is expected to materially increase our effective tax rate and taxes paid in future periods, if not repealed or otherwise modified. In addition, our total tax expense in future years may also vary as a result of discrete items such as excess tax benefits or deficiencies.</w:t>
      </w:r>
    </w:p>
    <w:p>
      <w:pPr>
        <w:spacing w:after="0" w:line="209" w:lineRule="exact"/>
        <w:rPr>
          <w:sz w:val="20"/>
          <w:szCs w:val="20"/>
          <w:color w:val="auto"/>
        </w:rPr>
      </w:pPr>
    </w:p>
    <w:p>
      <w:pPr>
        <w:ind w:right="2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1"/>
                <w:szCs w:val="11"/>
                <w:color w:val="auto"/>
              </w:rPr>
            </w:pPr>
          </w:p>
        </w:tc>
        <w:tc>
          <w:tcPr>
            <w:tcW w:w="1240" w:type="dxa"/>
            <w:vAlign w:val="bottom"/>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06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We reached a final agreement with the IRS and received notices of deficiency with respect to years 2008 through 2012 and have tentatively reached a basis for resolving the notices of proposed adjustments with respect to years 2013 through 2015. During the six months ended December 29, 2023, the Company made payments of $363 million for tax and $160 million for interest with respect to years 2008 through 2012 and recorded adjustments to align with IRS calculations, resulting in a remaining liability of $187 million as of December 29, 2023, related to all years from 2008 through 2015. The Company expects to pay any remaining balance with respect to this matter within the next twelve months.</w:t>
      </w:r>
    </w:p>
    <w:p>
      <w:pPr>
        <w:spacing w:after="0" w:line="212" w:lineRule="exact"/>
        <w:rPr>
          <w:sz w:val="20"/>
          <w:szCs w:val="20"/>
          <w:color w:val="auto"/>
        </w:rPr>
      </w:pPr>
    </w:p>
    <w:p>
      <w:pPr>
        <w:jc w:val="both"/>
        <w:ind w:right="60" w:firstLine="324"/>
        <w:spacing w:after="0"/>
        <w:rPr>
          <w:sz w:val="20"/>
          <w:szCs w:val="20"/>
          <w:color w:val="auto"/>
        </w:rPr>
      </w:pPr>
      <w:r>
        <w:rPr>
          <w:rFonts w:ascii="Times New Roman" w:cs="Times New Roman" w:eastAsia="Times New Roman" w:hAnsi="Times New Roman"/>
          <w:sz w:val="18"/>
          <w:szCs w:val="18"/>
          <w:color w:val="auto"/>
        </w:rPr>
        <w:t xml:space="preserve">In connection with settlements for the years 2008 through 2015, we expect to realize reductions to our mandatory deemed repatriation tax obligations and tax savings from interest deductions in future years aggregating to $168 million. Of this amount, $34 million of interest savings from the interest paid with respect to years 2008 through 2012 is classified as a deferred tax asset due to interest expense limitation rules. See Part I, Item 1, Note 12,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of the Notes to Condensed Consolidated Financial Statements included in this Quarterly Report on Form 10-Q for further details.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97"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As noted previously, we have been scaling back on capital expenditures, consolidating production lines and reducing bit growth to align with market demand. We reduced our expenditures for property, plant and equipment for our company plus our portion of the capital expenditures by our Flash Ventures joint venture with Kioxia for its operations to approximately $1.4 billion in 2023 from approximately $1.5 billion in 2022. After consideration of the Flash Ventures’ lease financing of its capital expenditures and net operating cash flow, we reduced our net cash used for our purchases of property, plant and equipment and net activity in notes receivable relating to Flash Ventures to $793 million in 2023 from $1.2 billion in 2022. We currently expect the capital expenditures for 2024 to be less than 2023.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We believe our Cash and cash equivalents and our available revolving credit facility will be sufficient to meet our working capital, debt and capital expenditure needs for at least the next twelve months and for the foreseeable future thereafter, as we navigate the current market downturn before returning to profitable operations and positive cash flows when the market normalizes. We believe we can also access the various debt capital markets to further supplement our liquidity position if necessary. Our ability to sustain our working capital position is subject to a number of risks that we discuss in Part II,</w:t>
      </w:r>
    </w:p>
    <w:p>
      <w:pPr>
        <w:spacing w:after="0" w:line="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in our Annual Report on Form 10-K for the year ended June 30, 2023.</w:t>
      </w:r>
    </w:p>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 total of $1.69 billion and $1.28 billion of our Cash and cash equivalents was held by our foreign subsidiaries as of December 29, 2023 and June 30, 2023, respectively. There are no material tax consequences that have not been accrued for on the repatriation of this cash.</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Net cash provided by or used in operating activities primarily consists of net income or loss, adjusted for non-cash charges, plus or minus changes in operating assets and liabilities. Net cash used for changes in operating assets and liabilities was $102 million for the six months ended December 29, 2023, as compared to $255 million for the six months ended December 30, 2022, which largely reflects the reduction in operating assets resulting from the reduction in volume of our business, partially offset by payments made on the IRS matter, as discussed above. Changes in our operating assets and liabilities are largely affected by our working capital requirements, which are dependent on our volume of business and the effective management of our cash conversion cycle as well as the timing of payments for taxes. During the six months ended December 29, 2023, the change in operating assets and liabilities included payments to the IRS of $523 million, including interest, as discussed in “Short- and Long-term Liquidity - </w:t>
      </w:r>
      <w:r>
        <w:rPr>
          <w:rFonts w:ascii="Times New Roman" w:cs="Times New Roman" w:eastAsia="Times New Roman" w:hAnsi="Times New Roman"/>
          <w:sz w:val="18"/>
          <w:szCs w:val="18"/>
          <w:i w:val="1"/>
          <w:iCs w:val="1"/>
          <w:color w:val="auto"/>
        </w:rPr>
        <w:t>Unrecognized Tax Benefits</w:t>
      </w:r>
      <w:r>
        <w:rPr>
          <w:rFonts w:ascii="Times New Roman" w:cs="Times New Roman" w:eastAsia="Times New Roman" w:hAnsi="Times New Roman"/>
          <w:sz w:val="18"/>
          <w:szCs w:val="18"/>
          <w:color w:val="auto"/>
        </w:rPr>
        <w:t>” section below. Our cash conversion cycle measures how quickly we can convert our products into cash through sales. The cash conversion cycles were as follows (in days):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540" w:type="dxa"/>
            <w:vAlign w:val="bottom"/>
            <w:gridSpan w:val="2"/>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440" w:type="dxa"/>
            <w:vAlign w:val="bottom"/>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Changes in days in inventory (“DIO”) are generally related to the timing of inventory builds, including staging of inventory to meet expected future demand. Changes in days payable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spacing w:after="0" w:line="197"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For the three months ended December 29, 2023, DSO decreased by 10 days from the comparable period in the prior year, primarily reflecting the timing of shipments and customer collections. DIO decreased by 18 days from the comparable period in the prior year, primarily reflecting lower production volumes, lower inventory cycle time which reduces the inventory levels we need to maintain to meet customer orders, and an increase in products shipped. DPO decreased by 8 days from the comparable period in the prior year primarily due to routine variations in the timing of purchases and payments during the period as well as slightly more favorable payment terms.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29, 2023 primarily consisted of $79 million in proceeds from net activity related to Flash Ventures and $26 million of proceeds from net activity related to strategic investments, partially offset by $81 million in capital expenditures, net of proceeds from disposals of assets, which includes the proceeds from the sale-leaseback of our Milpitas, California facility. Net cash used in investing activities for the six months ended December 30, 2022 primarily consisted of $578 million in capital expenditures, partially offset by $82 million in proceeds from net activity related to Flash Ventures.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1"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During the six months ended December 29, 2023, net cash provided by financing activities primarily consisted of $2.20 billion in proceeds from issuance of the 2028 Convertible Notes and the drawdown of the Delayed Draw Term Loan, partially offset by $505 million used to repurchase a portion of the 2024 Convertible Notes, and $338 million in repayments of the Delayed Draw Term Loan and Term Loan A-2 maturing 2027, and $155 million for the purchase of capped calls to hedge the potential dilution impact of the conversion feature of the 2028 Convertible Notes. During the six months ended December 30, 2022 cash flows from financing activities primarily consisted of $55 million used for taxes paid on vested stock awards under employee stock plans, partially offset by $48 million from the issuance of stock under employee stock plans. In addition, we drew and repaid $1.18 billion under our revolving credit facility within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Other than the commitments related to Flash Ventures incurred in the normal course of business and certain indemnification provisions (see “Short-and Long-term Liquidity -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xml:space="preserve">”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41"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color w:val="auto"/>
        </w:rPr>
        <w:t>In addition to cash requirements for unrecognized tax benefits and dividend rights with respect to the Series A Preferred Stock discussed below, the following is a summary of our known material cash requirements, including those for capital expenditures, as of December 29, 2023:</w:t>
      </w: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(2025-</w:t>
            </w:r>
          </w:p>
        </w:tc>
        <w:tc>
          <w:tcPr>
            <w:tcW w:w="12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(2027-</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1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Six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(Beyond 2028)</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-1224915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-1224915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-1224915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-1224915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40" w:right="40" w:hanging="332"/>
        <w:spacing w:after="0" w:line="22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Principal portion of debt, excluding issuance costs. Includes the 2024 Convertible Notes that remained outstanding as of December 29, 2023 but which we settled in full on February 1, 2024. See “Key Developments - </w:t>
      </w: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section above.</w:t>
      </w:r>
    </w:p>
    <w:p>
      <w:pPr>
        <w:ind w:left="340" w:right="460" w:hanging="332"/>
        <w:spacing w:after="0" w:line="22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1" w:lineRule="exact"/>
        <w:rPr>
          <w:sz w:val="20"/>
          <w:szCs w:val="20"/>
          <w:color w:val="auto"/>
        </w:rPr>
      </w:pPr>
    </w:p>
    <w:p>
      <w:pPr>
        <w:ind w:right="100" w:firstLine="324"/>
        <w:spacing w:after="0" w:line="230" w:lineRule="auto"/>
        <w:rPr>
          <w:sz w:val="20"/>
          <w:szCs w:val="20"/>
          <w:color w:val="auto"/>
        </w:rPr>
      </w:pPr>
      <w:r>
        <w:rPr>
          <w:rFonts w:ascii="Times New Roman" w:cs="Times New Roman" w:eastAsia="Times New Roman" w:hAnsi="Times New Roman"/>
          <w:sz w:val="18"/>
          <w:szCs w:val="18"/>
          <w:color w:val="auto"/>
        </w:rPr>
        <w:t xml:space="preserve">On January 31, 2023, we issued an aggregate of 900,000 shares of Series A Preferred Stock for an aggregate purchase price of $900 million. These shares are entitled to cumulative preferred dividends. See Part II, Item 8, Note 13, </w:t>
      </w:r>
      <w:r>
        <w:rPr>
          <w:rFonts w:ascii="Times New Roman" w:cs="Times New Roman" w:eastAsia="Times New Roman" w:hAnsi="Times New Roman"/>
          <w:sz w:val="18"/>
          <w:szCs w:val="18"/>
          <w:i w:val="1"/>
          <w:iCs w:val="1"/>
          <w:color w:val="auto"/>
        </w:rPr>
        <w:t>Shareholders’ Equity and Convertible Preferred Stock,</w:t>
      </w:r>
      <w:r>
        <w:rPr>
          <w:rFonts w:ascii="Times New Roman" w:cs="Times New Roman" w:eastAsia="Times New Roman" w:hAnsi="Times New Roman"/>
          <w:sz w:val="18"/>
          <w:szCs w:val="18"/>
          <w:color w:val="auto"/>
        </w:rPr>
        <w:t xml:space="preserve"> of the Notes to the Consolidated Financial Statements in our Annual Report on Form 10-K for the year ended June 30, 2023 and Part I, Item 1, Note 11,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information regarding the dividend provisions.</w:t>
      </w:r>
    </w:p>
    <w:p>
      <w:pPr>
        <w:ind w:left="180"/>
        <w:spacing w:after="0" w:line="235" w:lineRule="auto"/>
        <w:rPr>
          <w:sz w:val="20"/>
          <w:szCs w:val="20"/>
          <w:color w:val="auto"/>
        </w:rPr>
      </w:pPr>
      <w:r>
        <w:rPr>
          <w:rFonts w:ascii="Times New Roman" w:cs="Times New Roman" w:eastAsia="Times New Roman" w:hAnsi="Times New Roman"/>
          <w:sz w:val="18"/>
          <w:szCs w:val="18"/>
          <w:i w:val="1"/>
          <w:iCs w:val="1"/>
          <w:color w:val="auto"/>
        </w:rPr>
        <w:t>Debt</w:t>
      </w:r>
    </w:p>
    <w:p>
      <w:pPr>
        <w:ind w:right="200" w:firstLine="324"/>
        <w:spacing w:after="0" w:line="238" w:lineRule="auto"/>
        <w:rPr>
          <w:sz w:val="20"/>
          <w:szCs w:val="20"/>
          <w:color w:val="auto"/>
        </w:rPr>
      </w:pPr>
      <w:r>
        <w:rPr>
          <w:rFonts w:ascii="Times New Roman" w:cs="Times New Roman" w:eastAsia="Times New Roman" w:hAnsi="Times New Roman"/>
          <w:sz w:val="18"/>
          <w:szCs w:val="18"/>
          <w:color w:val="auto"/>
        </w:rPr>
        <w:t xml:space="preserve">As described in “Key Developments - </w:t>
      </w: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above, we undertook several liability-management actions during the quarter, including the issuance of the 2028 Convertible Notes, the partial repurchase of our 2024 Convertible Notes and the partial repayment of the Delayed Term Loan. In addition, on February 1, 2024, we settled all remaining 2024 Convertible Notes in accordance with their original terms for an aggregate cash principal payment of $592 million plus interest.</w:t>
      </w:r>
    </w:p>
    <w:p>
      <w:pPr>
        <w:spacing w:after="0" w:line="212"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 xml:space="preserve">In addition to our existing debt, as of December 29, 2023, we had $2.25 billion available for borrowing under our revolving credit facility until January 2027,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Additional information regarding our indebtedness, including information about availability under our revolving credit facility and the principal repayment terms, interest rates, covenants, collateral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the Consolidated Financial Statements included in our Annual Report on Form 10-K for the year ended June 30, 2023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Part I, Item 1 of this Quarterly Report on Form 10-Q.</w:t>
      </w:r>
    </w:p>
    <w:p>
      <w:pPr>
        <w:spacing w:after="0" w:line="214" w:lineRule="exact"/>
        <w:rPr>
          <w:sz w:val="20"/>
          <w:szCs w:val="20"/>
          <w:color w:val="auto"/>
        </w:rPr>
      </w:pPr>
    </w:p>
    <w:p>
      <w:pPr>
        <w:ind w:right="220" w:firstLine="324"/>
        <w:spacing w:after="0" w:line="242" w:lineRule="auto"/>
        <w:rPr>
          <w:sz w:val="20"/>
          <w:szCs w:val="20"/>
          <w:color w:val="auto"/>
        </w:rPr>
      </w:pPr>
      <w:r>
        <w:rPr>
          <w:rFonts w:ascii="Times New Roman" w:cs="Times New Roman" w:eastAsia="Times New Roman" w:hAnsi="Times New Roman"/>
          <w:sz w:val="18"/>
          <w:szCs w:val="18"/>
          <w:color w:val="auto"/>
        </w:rPr>
        <w:t>The loan agreements governing our revolving credit facility, our Term Loan A-2 maturing 2027, and our Delayed Draw Term Loan require us to comply with certain financial covenants, consisting of a leverage ratio, a minimum liquidity and a free cash flow requirement. As of December 29, 2023, we were in compliance with these financial covenants.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December 29, 2023,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years: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jc w:val="right"/>
              <w:ind w:right="9359"/>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3"/>
        </w:trPr>
        <w:tc>
          <w:tcPr>
            <w:tcW w:w="9800" w:type="dxa"/>
            <w:vAlign w:val="bottom"/>
            <w:tcBorders>
              <w:bottom w:val="single" w:sz="8" w:color="CCEEFF"/>
            </w:tcBorders>
          </w:tcPr>
          <w:p>
            <w:pPr>
              <w:jc w:val="right"/>
              <w:ind w:right="9359"/>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37"/>
        </w:trPr>
        <w:tc>
          <w:tcPr>
            <w:tcW w:w="9800" w:type="dxa"/>
            <w:vAlign w:val="bottom"/>
            <w:tcBorders>
              <w:bottom w:val="single" w:sz="8" w:color="CCEEFF"/>
            </w:tcBorders>
            <w:shd w:val="clear" w:color="auto" w:fill="CCEEFF"/>
          </w:tcPr>
          <w:p>
            <w:pPr>
              <w:jc w:val="right"/>
              <w:ind w:right="9239"/>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29, 2023, the liability for unrecognized tax benefits (excluding accrued interest and penalties) was $677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December 29, 2023 was $161 million. Of these amounts, approximately $671 million could result in potential cash payments.</w:t>
      </w:r>
    </w:p>
    <w:p>
      <w:pPr>
        <w:spacing w:after="0" w:line="193" w:lineRule="exact"/>
        <w:rPr>
          <w:sz w:val="20"/>
          <w:szCs w:val="20"/>
          <w:color w:val="auto"/>
        </w:rPr>
      </w:pPr>
    </w:p>
    <w:p>
      <w:pPr>
        <w:jc w:val="both"/>
        <w:ind w:right="600" w:firstLine="324"/>
        <w:spacing w:after="0" w:line="239" w:lineRule="auto"/>
        <w:rPr>
          <w:sz w:val="20"/>
          <w:szCs w:val="20"/>
          <w:color w:val="auto"/>
        </w:rPr>
      </w:pPr>
      <w:r>
        <w:rPr>
          <w:rFonts w:ascii="Times New Roman" w:cs="Times New Roman" w:eastAsia="Times New Roman" w:hAnsi="Times New Roman"/>
          <w:sz w:val="18"/>
          <w:szCs w:val="18"/>
          <w:color w:val="auto"/>
        </w:rPr>
        <w:t>As noted above, we reached a final agreement with the IRS regarding notices of deficiency with respect to years 2008 through 2012 and have tentatively reached a basis for resolving the notices of proposed adjustments with respect to years 2013 through 2015. During the six months ended December 29, 2023, we made payments of $363 million for tax and $160 million for interest with respect to years 2008 through 2012 and recorded adjustments to align with IRS calculations, resulting in a remaining liability of $187 million as of December 29, 2023 related to all years from 2008 through 2015. We expect to pay any remaining balance with respect to this matter within the next twelve months.</w:t>
      </w:r>
    </w:p>
    <w:p>
      <w:pPr>
        <w:spacing w:after="0" w:line="211"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we expect to realize reductions to our mandatory deemed repatriation tax obligations and tax savings from interest deductions in future years aggregating to approximately $168 million. Of this amount, $34 million of interest savings from the interest paid with respect to years 2008 through 2012 is classified as a deferred tax asset due to interest expense limitation rules.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Research and Development Expense Capitalization</w:t>
      </w:r>
    </w:p>
    <w:p>
      <w:pPr>
        <w:spacing w:after="0" w:line="24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Since the beginning of 2023, the 2017 Act has required us to capitalize and amortize R&amp;D expenses rather than expensing them in the year incurred, which is expected to result in materially higher cash tax payments in future profitable periods, if not repealed or otherwise modified.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w:t>
      </w:r>
      <w:r>
        <w:rPr>
          <w:rFonts w:ascii="Times New Roman" w:cs="Times New Roman" w:eastAsia="Times New Roman" w:hAnsi="Times New Roman"/>
          <w:sz w:val="18"/>
          <w:szCs w:val="18"/>
          <w:color w:val="auto"/>
        </w:rPr>
        <w:t>included in this Quarterly Report on Form 10-Q for additional information.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ind w:right="20" w:firstLine="324"/>
        <w:spacing w:after="0" w:line="236"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30, 2023 for a discussion of our critical accounting policies and estimates.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Except as disclosed below, there have been no material changes to our market risk during the </w:t>
      </w:r>
      <w:r>
        <w:rPr>
          <w:rFonts w:ascii="Times New Roman" w:cs="Times New Roman" w:eastAsia="Times New Roman" w:hAnsi="Times New Roman"/>
          <w:sz w:val="18"/>
          <w:szCs w:val="18"/>
          <w:color w:val="000000"/>
        </w:rPr>
        <w:t>six months ended December 29, 2023</w:t>
      </w:r>
      <w:r>
        <w:rPr>
          <w:rFonts w:ascii="Times New Roman" w:cs="Times New Roman" w:eastAsia="Times New Roman" w:hAnsi="Times New Roman"/>
          <w:sz w:val="18"/>
          <w:szCs w:val="18"/>
          <w:color w:val="212529"/>
        </w:rPr>
        <w:t xml:space="preserve">. See Part II, Item 7A, </w:t>
      </w:r>
      <w:r>
        <w:rPr>
          <w:rFonts w:ascii="Times New Roman" w:cs="Times New Roman" w:eastAsia="Times New Roman" w:hAnsi="Times New Roman"/>
          <w:sz w:val="18"/>
          <w:szCs w:val="18"/>
          <w:i w:val="1"/>
          <w:iCs w:val="1"/>
          <w:color w:val="212529"/>
        </w:rPr>
        <w:t>Quantitative and Qualitative Disclosures About Market Risk</w:t>
      </w:r>
      <w:r>
        <w:rPr>
          <w:rFonts w:ascii="Times New Roman" w:cs="Times New Roman" w:eastAsia="Times New Roman" w:hAnsi="Times New Roman"/>
          <w:sz w:val="18"/>
          <w:szCs w:val="18"/>
          <w:color w:val="212529"/>
        </w:rPr>
        <w:t xml:space="preserve"> in our Annual Report on Form 10-K for the year ended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color w:val="212529"/>
        </w:rPr>
        <w:t xml:space="preserve"> for further information about our exposure to market risk.</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have performed sensitivity analyses as of December 29, 2023 and June 30, 2023 using a modeling technique that measures the change in the fair values arising from a hypothetical 10% adverse moveme</w:t>
      </w:r>
      <w:r>
        <w:rPr>
          <w:rFonts w:ascii="Times New Roman" w:cs="Times New Roman" w:eastAsia="Times New Roman" w:hAnsi="Times New Roman"/>
          <w:sz w:val="18"/>
          <w:szCs w:val="18"/>
          <w:color w:val="212529"/>
        </w:rPr>
        <w:t>nt in the levels of foreign currency exchange rates relative to the U.S. dollar, with all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variables held constant. The analyses cover all of our foreign currency derivative contracts used to offset the underlying exposures. The foreign currency exchange rates used in performing the sensitivity analyses were based on market rates in effect at </w:t>
      </w:r>
      <w:r>
        <w:rPr>
          <w:rFonts w:ascii="Times New Roman" w:cs="Times New Roman" w:eastAsia="Times New Roman" w:hAnsi="Times New Roman"/>
          <w:sz w:val="18"/>
          <w:szCs w:val="18"/>
          <w:color w:val="000000"/>
        </w:rPr>
        <w:t>December 29, 2023</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color w:val="212529"/>
        </w:rPr>
        <w:t xml:space="preserve">. The sensitivity analyses indicated that a hypothetical 10% adverse movement in foreign currency exchange rates relative to the U.S. dollar would result in a foreign exchange fair value loss of </w:t>
      </w:r>
      <w:r>
        <w:rPr>
          <w:rFonts w:ascii="Times New Roman" w:cs="Times New Roman" w:eastAsia="Times New Roman" w:hAnsi="Times New Roman"/>
          <w:sz w:val="18"/>
          <w:szCs w:val="18"/>
          <w:color w:val="000000"/>
        </w:rPr>
        <w:t>$283</w:t>
      </w:r>
      <w:r>
        <w:rPr>
          <w:rFonts w:ascii="Times New Roman" w:cs="Times New Roman" w:eastAsia="Times New Roman" w:hAnsi="Times New Roman"/>
          <w:sz w:val="18"/>
          <w:szCs w:val="18"/>
          <w:color w:val="212529"/>
        </w:rPr>
        <w:t xml:space="preserve"> million and $285 million at </w:t>
      </w:r>
      <w:r>
        <w:rPr>
          <w:rFonts w:ascii="Times New Roman" w:cs="Times New Roman" w:eastAsia="Times New Roman" w:hAnsi="Times New Roman"/>
          <w:sz w:val="18"/>
          <w:szCs w:val="18"/>
          <w:color w:val="000000"/>
        </w:rPr>
        <w:t>December 29, 2023</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color w:val="212529"/>
        </w:rPr>
        <w:t>, respectively.</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generally held a balance of fixed and variable rate debt. As of December 29, 2023, our variable rate debt outstanding consisted of our Term Loan A-2 and Delayed Draw Term Loan, which are based on various index rates as discussed further in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As of December 29, 2023, the outstanding balance on our variable rate debt was $3.0 billion and a one percent increase in the variable rate of interest would increase annual interest expense by $30 million.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second quarter of fiscal year 2024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 for disclosures regarding the status of statutory notices of deficiency issued by the IRS with regards to tax years 2008 through 2015.</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43"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year ended June 30, 2023 a number of risks and uncertainties that could cause our actual results of operations and financial condition to vary materially from past, or from anticipated future, results of operations and financial condition. Except as discussed below, there have been no material changes from these risk factors previously described in Part I, Item 1A of our Annual Report on Form 10-K for the year ended June 30, 2023, as updated by the risk factors described in Part II, Item 1A of our Quarterly Report on Form 10-Q for the quarter ended September 29, 2023.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26"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strategic relationships with various partners, including Kioxia, which subjects us to risks and uncertainties that could harm our business.</w:t>
      </w:r>
    </w:p>
    <w:p>
      <w:pPr>
        <w:spacing w:after="0" w:line="18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w:t>
      </w:r>
    </w:p>
    <w:p>
      <w:pPr>
        <w:spacing w:after="0" w:line="210" w:lineRule="exact"/>
        <w:rPr>
          <w:sz w:val="20"/>
          <w:szCs w:val="20"/>
          <w:color w:val="auto"/>
        </w:rPr>
      </w:pPr>
    </w:p>
    <w:p>
      <w:pPr>
        <w:ind w:right="200" w:firstLine="324"/>
        <w:spacing w:after="0" w:line="252" w:lineRule="auto"/>
        <w:rPr>
          <w:sz w:val="20"/>
          <w:szCs w:val="20"/>
          <w:color w:val="auto"/>
        </w:rPr>
      </w:pPr>
      <w:r>
        <w:rPr>
          <w:rFonts w:ascii="Times New Roman" w:cs="Times New Roman" w:eastAsia="Times New Roman" w:hAnsi="Times New Roman"/>
          <w:sz w:val="18"/>
          <w:szCs w:val="18"/>
          <w:color w:val="auto"/>
        </w:rPr>
        <w:t>Substantially all of our flash-based memory is supplied by Flash Ventures, which limits our ability to respond to market demand and supply changes and makes our financial results particularly susceptible to variations from our forecasts and expectations. For example, we are contractually obligated to pay for 50% of the fixed costs of Flash Ventures regardless of whether we order any flash-based memory, and our orders placed with Flash Ventures on a three-month rolling basis are binding. As a result, a failure to accurately forecast supply and demand could cause us to over-invest or under-invest in inventory, technology transitions or the expansion of Flash Ventures’ capacity. Over-investment by us or our competitors can result in excess supply and lead to significant decreases in our product prices, significant excess, obsolete inventory or inventory write-downs or underutilization charges, and the potential impairment of our investments in Flash Ventures. For example, in 2023, we incurred charges for unabsorbed manufacturing overhead costs as a result of the reduced utilization of our manufacturing capacity and charges to write-down our inventory as a result of decreases in market pricing, which together aggregated to $404 million for our Flash business. These charges were attributable to a significant imbalance of supply and demand and our actions taken in response thereto.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w:t>
      </w:r>
    </w:p>
    <w:p>
      <w:pPr>
        <w:spacing w:after="0" w:line="224"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Our control over the operations of our business ventures may be limited, and our interests could diverge from our strategic partners’ interests regarding ongoing and future activities. For example,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react quickly to changes in the market, or to stay at the forefront of technological advancement. Misalignment could arise due to changes in Kioxia’s strategic priorities, management, ownership or access to capital, which have changed in recent years and could continue to change. Kioxia’s stakeholders may include, or have included in the past, competitors, customers, a private equity firm, government entities or public stockholders. Kioxia’s management changes, ownership and capital structure could lead to delays in decision-making, disputes or changes in strategic direction that could negatively impact the strategic partnership, and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therefore us. There may exist conflicts of interest between Kioxia’s stakeholders and Flash Ventures or us with respect to, among other things, protecting and growing Flash Ventures’ business, IP and competitively sensitive confidential information.</w:t>
      </w:r>
    </w:p>
    <w:p>
      <w:pPr>
        <w:spacing w:after="0" w:line="189"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Together with Kioxia, we fund a portion of the investments required for Flash Ventures through lease financings. Continued availability of lease financings for Flash Ventures is not guaranteed and could be limited by several factors, including investor capacity and risk allocation policies, our or Kioxia’s financial performance and changes to our or Kioxia’s business, ownership or corporate structure. To the extent that lease financings are not accessible on favorable terms or at all, more cash would be required to fund investments.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strategic relationships are subject to additional risks that could harm our business, including, but not limited to, the following:</w:t>
      </w:r>
    </w:p>
    <w:p>
      <w:pPr>
        <w:spacing w:after="0" w:line="27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failure by our strategic partners to comply with applicable laws or employ effective internal controls;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and delays in product and technology development at, ramping production at, and transferring technology to, our strategic partners;</w:t>
      </w:r>
    </w:p>
    <w:p>
      <w:pPr>
        <w:spacing w:after="0" w:line="265" w:lineRule="exact"/>
        <w:rPr>
          <w:rFonts w:ascii="Arial" w:cs="Arial" w:eastAsia="Arial" w:hAnsi="Arial"/>
          <w:sz w:val="22"/>
          <w:szCs w:val="22"/>
          <w:color w:val="auto"/>
        </w:rPr>
      </w:pPr>
    </w:p>
    <w:p>
      <w:pPr>
        <w:ind w:left="660" w:right="20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declining financial performance of our strategic partners, including failure by our strategic partners to timely fund capital investments with us or otherwise meet their commitments, including paying amounts owed to us or third parties when due;</w:t>
      </w:r>
    </w:p>
    <w:p>
      <w:pPr>
        <w:spacing w:after="0" w:line="261"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may lose the rights to, or ability to independently manufacture, certain technology or products being developed or manufactured by strategic partners, including if any of them is acquired by another company, files for bankruptcy or experiences financial or other losses;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bankruptcy event involving a strategic partner could result in structural changes to or termination of the strategic partnership;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or regulatory requirements may necessitate changes to the agreements governing our strategic partnerships.</w:t>
      </w:r>
    </w:p>
    <w:p>
      <w:pPr>
        <w:spacing w:after="0" w:line="221"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experience sales seasonality and cyclicality, which could cause our operating results to fluctuate. In addition, accurately forecasting demand has become more difficult, which could harm our business.</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Sales of many of our products tend to be seasonal and subject to supply-demand cycles. Changes in seasonal and cyclical supply and demand patterns have made it, and could continue to make it, more difficult for us to forecast demand. Changes in the product or channel mix of our business can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w:t>
      </w:r>
    </w:p>
    <w:p>
      <w:pPr>
        <w:spacing w:after="0" w:line="21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variety and volume of products we manufacture are based in part on accurately forecasting market and customer demand for our products. Accurately forecasting demand has become increasingly difficult for us, our customers and our suppliers due to volatility in global economic conditions, end market dynamics and industry consolidation, resulting in less availability of historical market data for certain product segments. Further, for many of our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This has caused, and may in the future cause, our forecasts to exceed actual market demand, resulting in periods of product oversupply, excess inventory, underutilization of manufacturing capacity and price decreases, which has impacted and could further impact our sales, ASPs and gross margin or require us to incur additional inventory write-downs or additional charges for unabsorbed manufacturing overhead, thereby negatively affecting our operating results and our financial condition. For example, in 2023 we incurred charges for unabsorbed manufacturing overhead costs as a result of the reduced utilization of our manufacturing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capacity and charges to write-down our inventory as a result of decreases in market pricing, which together aggregated to $605 million. These charges were attributable to a significant imbalance of supply and demand and our actions taken in response thereto.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41" w:lineRule="exact"/>
        <w:rPr>
          <w:sz w:val="20"/>
          <w:szCs w:val="20"/>
          <w:color w:val="auto"/>
        </w:rPr>
      </w:pPr>
    </w:p>
    <w:p>
      <w:pPr>
        <w:jc w:val="both"/>
        <w:ind w:right="180" w:firstLine="324"/>
        <w:spacing w:after="0" w:line="296" w:lineRule="auto"/>
        <w:rPr>
          <w:sz w:val="20"/>
          <w:szCs w:val="20"/>
          <w:color w:val="auto"/>
        </w:rPr>
      </w:pPr>
      <w:r>
        <w:rPr>
          <w:rFonts w:ascii="Times New Roman" w:cs="Times New Roman" w:eastAsia="Times New Roman" w:hAnsi="Times New Roman"/>
          <w:sz w:val="17"/>
          <w:szCs w:val="17"/>
          <w:color w:val="auto"/>
        </w:rPr>
        <w:t>During the second quarter, the following directors or officers (as defined in Rule 16a-1(f) of the Exchange Act) adopted trading arrangements for the purchase or sale of securities that are intended to satisfy the affirmative defense conditions of Rule 10b5-1(c) of the Exchange Act (“Rule 10b5-1 Plan”):</w:t>
      </w:r>
    </w:p>
    <w:p>
      <w:pPr>
        <w:spacing w:after="0" w:line="179" w:lineRule="exact"/>
        <w:rPr>
          <w:sz w:val="20"/>
          <w:szCs w:val="20"/>
          <w:color w:val="auto"/>
        </w:rPr>
      </w:pPr>
    </w:p>
    <w:p>
      <w:pPr>
        <w:ind w:left="660" w:right="300" w:hanging="328"/>
        <w:spacing w:after="0" w:line="268" w:lineRule="auto"/>
        <w:tabs>
          <w:tab w:leader="none" w:pos="648"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7"/>
          <w:szCs w:val="17"/>
          <w:color w:val="auto"/>
        </w:rPr>
        <w:t>Michael Ray, Executive Vice President, Chief Legal Officer and Secretary of the Company, adopted a Rule 10b5-1 Plan on November 8, 2023. Under this plan, up to an aggregate of 87,902 shares of the Company’s common stock may be sold before the plan expires on May 9, 2025.</w:t>
      </w:r>
    </w:p>
    <w:p>
      <w:pPr>
        <w:spacing w:after="0" w:line="172" w:lineRule="exact"/>
        <w:rPr>
          <w:rFonts w:ascii="Arial" w:cs="Arial" w:eastAsia="Arial" w:hAnsi="Arial"/>
          <w:sz w:val="19"/>
          <w:szCs w:val="19"/>
          <w:color w:val="auto"/>
        </w:rPr>
      </w:pPr>
    </w:p>
    <w:p>
      <w:pPr>
        <w:ind w:left="660" w:right="18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Kimberly E. Alexy, a director of the Company, adopted a Rule 10b5-1 Plan on November 24, 2023. Under this plan, up to an aggregate of 5,648 shares of the Company’s common stock may be sold before the plan expires on November 24, 2025.</w:t>
      </w:r>
    </w:p>
    <w:p>
      <w:pPr>
        <w:spacing w:after="0" w:line="203" w:lineRule="exact"/>
        <w:rPr>
          <w:rFonts w:ascii="Times New Roman" w:cs="Times New Roman" w:eastAsia="Times New Roman" w:hAnsi="Times New Roman"/>
          <w:sz w:val="18"/>
          <w:szCs w:val="18"/>
          <w:color w:val="auto"/>
        </w:rPr>
      </w:pPr>
    </w:p>
    <w:p>
      <w:pPr>
        <w:ind w:left="660" w:right="140" w:hanging="328"/>
        <w:spacing w:after="0" w:line="233"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Gene Zamiska, Senior Vice President, Global Accounting and Chief Accounting Officer of the Company, adopted a Rule 10b5-1 Plan on December 1, 2023. Under this plan, up to an aggregate of 26,432 shares of the Company’s common stock may be sold before the plan expires on May 1, 2025.</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160" w:firstLine="8"/>
        <w:spacing w:after="0" w:line="25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firstLine="8"/>
        <w:spacing w:after="0" w:line="260"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210"/>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Exhibit</w:t>
            </w:r>
          </w:p>
        </w:tc>
        <w:tc>
          <w:tcPr>
            <w:tcW w:w="10000" w:type="dxa"/>
            <w:vAlign w:val="bottom"/>
          </w:tcPr>
          <w:p>
            <w:pPr>
              <w:spacing w:after="0"/>
              <w:rPr>
                <w:sz w:val="18"/>
                <w:szCs w:val="18"/>
                <w:color w:val="auto"/>
              </w:rPr>
            </w:pPr>
          </w:p>
        </w:tc>
      </w:tr>
      <w:tr>
        <w:trPr>
          <w:trHeight w:val="24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8"/>
              </w:rPr>
              <w:t>Number</w:t>
            </w:r>
          </w:p>
        </w:tc>
        <w:tc>
          <w:tcPr>
            <w:tcW w:w="1000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720" w:type="dxa"/>
            <w:vAlign w:val="bottom"/>
            <w:tcBorders>
              <w:top w:val="single" w:sz="8" w:color="auto"/>
            </w:tcBorders>
            <w:gridSpan w:val="4"/>
            <w:shd w:val="clear" w:color="auto" w:fill="CCEEFF"/>
          </w:tcPr>
          <w:p>
            <w:pPr>
              <w:jc w:val="center"/>
              <w:ind w:left="330"/>
              <w:spacing w:after="0" w:line="182"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r>
      <w:tr>
        <w:trPr>
          <w:trHeight w:val="209"/>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r>
      <w:tr>
        <w:trPr>
          <w:trHeight w:val="189"/>
        </w:trPr>
        <w:tc>
          <w:tcPr>
            <w:tcW w:w="720" w:type="dxa"/>
            <w:vAlign w:val="bottom"/>
            <w:gridSpan w:val="4"/>
          </w:tcPr>
          <w:p>
            <w:pPr>
              <w:jc w:val="center"/>
              <w:ind w:left="330"/>
              <w:spacing w:after="0" w:line="189"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Certificate of Designations, Preferences and Rights of Series A Convertible Perpetual Preferred Stock (Filed as Exhibit 3.1 to the</w:t>
            </w: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 No. 1-08703) with the Securities and Exchange Commission on February 1, 2023)</w:t>
            </w:r>
          </w:p>
        </w:tc>
      </w:tr>
      <w:tr>
        <w:trPr>
          <w:trHeight w:val="189"/>
        </w:trPr>
        <w:tc>
          <w:tcPr>
            <w:tcW w:w="720" w:type="dxa"/>
            <w:vAlign w:val="bottom"/>
            <w:gridSpan w:val="4"/>
            <w:shd w:val="clear" w:color="auto" w:fill="CCEEFF"/>
          </w:tcPr>
          <w:p>
            <w:pPr>
              <w:jc w:val="center"/>
              <w:ind w:left="330"/>
              <w:spacing w:after="0" w:line="189"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Western Digital Corporation, as amended effective as of February 10, 2021 (Filed as Exhibit 3.1 to</w:t>
            </w:r>
          </w:p>
        </w:tc>
      </w:tr>
      <w:tr>
        <w:trPr>
          <w:trHeight w:val="210"/>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Current Report on Form 8-K (File No. 1-08703) with the Securities and Exchange Commission on February 12, 2021)</w:t>
            </w:r>
          </w:p>
        </w:tc>
      </w:tr>
      <w:tr>
        <w:trPr>
          <w:trHeight w:val="189"/>
        </w:trPr>
        <w:tc>
          <w:tcPr>
            <w:tcW w:w="720" w:type="dxa"/>
            <w:vAlign w:val="bottom"/>
            <w:gridSpan w:val="4"/>
          </w:tcPr>
          <w:p>
            <w:pPr>
              <w:jc w:val="center"/>
              <w:ind w:left="330"/>
              <w:spacing w:after="0" w:line="189"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Second Supplemental Indenture, dated as of October 10, 2023, by and among Western Digital Technologies, Inc. and U.S. Bank Trust</w:t>
            </w:r>
          </w:p>
        </w:tc>
      </w:tr>
      <w:tr>
        <w:trPr>
          <w:trHeight w:val="142"/>
        </w:trPr>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Company, National Association, as Trustee (Filed as Exhibit 10.1 to the Company’s Current Report on Form 8-K (File No. 1-08703) with</w:t>
            </w:r>
          </w:p>
        </w:tc>
      </w:tr>
      <w:tr>
        <w:trPr>
          <w:trHeight w:val="239"/>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Securities and Exchange Commission on October 10, 2023)</w:t>
            </w:r>
          </w:p>
        </w:tc>
      </w:tr>
      <w:tr>
        <w:trPr>
          <w:trHeight w:val="193"/>
        </w:trPr>
        <w:tc>
          <w:tcPr>
            <w:tcW w:w="720" w:type="dxa"/>
            <w:vAlign w:val="bottom"/>
            <w:gridSpan w:val="4"/>
            <w:shd w:val="clear" w:color="auto" w:fill="CCEEFF"/>
          </w:tcPr>
          <w:p>
            <w:pPr>
              <w:jc w:val="center"/>
              <w:ind w:left="330"/>
              <w:spacing w:after="0" w:line="194"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Indenture, dated as of November 3, 2023 (the “Indenture”), among (i) Western Digital Corporation, (ii) Western Digital Technologies,</w:t>
            </w:r>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 as guarantor, and (iii) U.S. Bank Trust Company, National Association, as trustee (Filed as Exhibit 4.1 to the Company’s Current</w:t>
            </w:r>
          </w:p>
        </w:tc>
      </w:tr>
      <w:tr>
        <w:trPr>
          <w:trHeight w:val="243"/>
        </w:trPr>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on Form 8-K (File No. 1-08703) with the Securities and Exchange Commission on November 3, 2023)</w:t>
            </w:r>
          </w:p>
        </w:tc>
      </w:tr>
      <w:tr>
        <w:trPr>
          <w:trHeight w:val="189"/>
        </w:trPr>
        <w:tc>
          <w:tcPr>
            <w:tcW w:w="720" w:type="dxa"/>
            <w:vAlign w:val="bottom"/>
            <w:gridSpan w:val="4"/>
          </w:tcPr>
          <w:p>
            <w:pPr>
              <w:jc w:val="center"/>
              <w:ind w:left="330"/>
              <w:spacing w:after="0" w:line="189"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Global Note, representing Western Digital corporation’s 3.00% convertible senior notes due 2028 (included as Exhibit A to the</w:t>
            </w:r>
          </w:p>
        </w:tc>
      </w:tr>
      <w:tr>
        <w:trPr>
          <w:trHeight w:val="142"/>
        </w:trPr>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Indenture filed as Exhibit 4.1) (Filed as Exhibit 4.2 to the Company’s Current Report on Form 8-K (File No. 1-08703) with the Securities</w:t>
            </w:r>
          </w:p>
        </w:tc>
      </w:tr>
      <w:tr>
        <w:trPr>
          <w:trHeight w:val="239"/>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Exchange Commission on November 3, 2023)</w:t>
            </w:r>
          </w:p>
        </w:tc>
      </w:tr>
      <w:tr>
        <w:trPr>
          <w:trHeight w:val="193"/>
        </w:trPr>
        <w:tc>
          <w:tcPr>
            <w:tcW w:w="1120" w:type="dxa"/>
            <w:vAlign w:val="bottom"/>
            <w:gridSpan w:val="5"/>
            <w:shd w:val="clear" w:color="auto" w:fill="CCEEFF"/>
          </w:tcPr>
          <w:p>
            <w:pPr>
              <w:jc w:val="center"/>
              <w:spacing w:after="0" w:line="194" w:lineRule="exact"/>
              <w:rPr>
                <w:rFonts w:ascii="Times New Roman" w:cs="Times New Roman" w:eastAsia="Times New Roman" w:hAnsi="Times New Roman"/>
                <w:sz w:val="18"/>
                <w:szCs w:val="18"/>
                <w:color w:val="0000FF"/>
                <w:w w:val="95"/>
              </w:rPr>
            </w:pPr>
            <w:hyperlink r:id="rId13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Confirmation for Capped Call Transactions (Filed as Exhibit 10.1 to the Company’s Current Report on Form 8-K (File No. 1-</w:t>
            </w:r>
          </w:p>
        </w:tc>
      </w:tr>
      <w:tr>
        <w:trPr>
          <w:trHeight w:val="209"/>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08703) with the Securities and Exchange Commission on November 3, 2023)</w:t>
            </w:r>
          </w:p>
        </w:tc>
      </w:tr>
      <w:tr>
        <w:trPr>
          <w:trHeight w:val="189"/>
        </w:trPr>
        <w:tc>
          <w:tcPr>
            <w:tcW w:w="1120" w:type="dxa"/>
            <w:vAlign w:val="bottom"/>
            <w:gridSpan w:val="5"/>
          </w:tcPr>
          <w:p>
            <w:pPr>
              <w:jc w:val="center"/>
              <w:spacing w:after="0" w:line="189" w:lineRule="exact"/>
              <w:rPr>
                <w:rFonts w:ascii="Times New Roman" w:cs="Times New Roman" w:eastAsia="Times New Roman" w:hAnsi="Times New Roman"/>
                <w:sz w:val="18"/>
                <w:szCs w:val="18"/>
                <w:color w:val="0000FF"/>
                <w:w w:val="95"/>
              </w:rPr>
            </w:pPr>
            <w:hyperlink r:id="rId14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Western Digital Corporation Amended and Restated 2021 Long-Term Incentive Plan, amended and restated as of August 22, 2023 (Filed</w:t>
            </w:r>
          </w:p>
        </w:tc>
      </w:tr>
      <w:tr>
        <w:trPr>
          <w:trHeight w:val="142"/>
        </w:trPr>
        <w:tc>
          <w:tcPr>
            <w:tcW w:w="4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as Exhibit 10.1 to the Company’s Current Report on Form 8-K (File No. 1-08703) with the Securities and Exchange Commission on</w:t>
            </w:r>
          </w:p>
        </w:tc>
      </w:tr>
      <w:tr>
        <w:trPr>
          <w:trHeight w:val="239"/>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17, 2023)*</w:t>
            </w:r>
          </w:p>
        </w:tc>
      </w:tr>
      <w:tr>
        <w:trPr>
          <w:trHeight w:val="193"/>
        </w:trPr>
        <w:tc>
          <w:tcPr>
            <w:tcW w:w="1120" w:type="dxa"/>
            <w:vAlign w:val="bottom"/>
            <w:gridSpan w:val="5"/>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10"/>
        </w:trPr>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r>
      <w:tr>
        <w:trPr>
          <w:trHeight w:val="189"/>
        </w:trPr>
        <w:tc>
          <w:tcPr>
            <w:tcW w:w="11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10"/>
        </w:trPr>
        <w:tc>
          <w:tcPr>
            <w:tcW w:w="4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w:t>
            </w:r>
          </w:p>
        </w:tc>
      </w:tr>
      <w:tr>
        <w:trPr>
          <w:trHeight w:val="175"/>
        </w:trPr>
        <w:tc>
          <w:tcPr>
            <w:tcW w:w="1240" w:type="dxa"/>
            <w:vAlign w:val="bottom"/>
            <w:gridSpan w:val="6"/>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60" w:hanging="827"/>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contained in Exhibit 101</w:t>
      </w:r>
    </w:p>
    <w:p>
      <w:pPr>
        <w:spacing w:after="0" w:line="25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9683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280" w:right="740" w:hanging="323"/>
        <w:spacing w:after="0" w:line="250" w:lineRule="auto"/>
        <w:tabs>
          <w:tab w:leader="none" w:pos="260" w:val="left"/>
        </w:tabs>
        <w:rPr>
          <w:sz w:val="20"/>
          <w:szCs w:val="20"/>
          <w:color w:val="auto"/>
        </w:rPr>
      </w:pPr>
      <w:r>
        <w:rPr>
          <w:rFonts w:ascii="Times New Roman" w:cs="Times New Roman" w:eastAsia="Times New Roman" w:hAnsi="Times New Roman"/>
          <w:sz w:val="18"/>
          <w:szCs w:val="18"/>
          <w:color w:val="auto"/>
        </w:rPr>
        <w:t>*</w:t>
        <w:tab/>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185"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432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Gene Zamiska</w:t>
      </w:r>
    </w:p>
    <w:p>
      <w:pPr>
        <w:spacing w:after="0" w:line="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Senior Vice President, Global Accounting and Chief</w:t>
      </w:r>
    </w:p>
    <w:p>
      <w:pPr>
        <w:ind w:left="68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 and Duly Authorized</w:t>
      </w:r>
    </w:p>
    <w:p>
      <w:pPr>
        <w:ind w:left="6840"/>
        <w:spacing w:after="0"/>
        <w:rPr>
          <w:sz w:val="20"/>
          <w:szCs w:val="20"/>
          <w:color w:val="auto"/>
        </w:rPr>
      </w:pPr>
      <w:r>
        <w:rPr>
          <w:rFonts w:ascii="Times New Roman" w:cs="Times New Roman" w:eastAsia="Times New Roman" w:hAnsi="Times New Roman"/>
          <w:sz w:val="18"/>
          <w:szCs w:val="18"/>
          <w:color w:val="auto"/>
        </w:rPr>
        <w:t>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320" w:top="121" w:right="5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Wissam Jabre, certify that:</w:t>
      </w:r>
    </w:p>
    <w:p>
      <w:pPr>
        <w:spacing w:after="0" w:line="104"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p>
      <w:pPr>
        <w:sectPr>
          <w:pgSz w:w="11900" w:h="16838" w:orient="portrait"/>
          <w:cols w:equalWidth="0" w:num="1">
            <w:col w:w="11240"/>
          </w:cols>
          <w:pgMar w:left="320" w:top="887" w:right="339" w:bottom="1440" w:gutter="0" w:footer="0" w:header="0"/>
        </w:sectPr>
      </w:pPr>
    </w:p>
    <w:bookmarkStart w:id="66" w:name="page67"/>
    <w:bookmarkEnd w:id="6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80" w:firstLine="332"/>
        <w:spacing w:after="0" w:line="282" w:lineRule="auto"/>
        <w:tabs>
          <w:tab w:leader="none" w:pos="5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December 29, 2023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p>
      <w:pPr>
        <w:sectPr>
          <w:pgSz w:w="11900" w:h="16838" w:orient="portrait"/>
          <w:cols w:equalWidth="0" w:num="1">
            <w:col w:w="11240"/>
          </w:cols>
          <w:pgMar w:left="320" w:top="887" w:right="339"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80" w:firstLine="332"/>
        <w:spacing w:after="0" w:line="282" w:lineRule="auto"/>
        <w:tabs>
          <w:tab w:leader="none" w:pos="5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December 29, 2023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3"/>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lowerRoman"/>
      <w:start w:val="4"/>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33" Type="http://schemas.openxmlformats.org/officeDocument/2006/relationships/hyperlink" Target="http://www.sec.gov/Archives/edgar/data/106040/000095013706001502/a17011exv3w1.htm" TargetMode="External"/><Relationship Id="rId134" Type="http://schemas.openxmlformats.org/officeDocument/2006/relationships/hyperlink" Target="https://www.sec.gov/Archives/edgar/data/106040/000119312523020502/d425756dex31.htm" TargetMode="External"/><Relationship Id="rId135" Type="http://schemas.openxmlformats.org/officeDocument/2006/relationships/hyperlink" Target="https://www.sec.gov/Archives/edgar/data/106040/000119312521041457/d128208dex31.htm" TargetMode="External"/><Relationship Id="rId136" Type="http://schemas.openxmlformats.org/officeDocument/2006/relationships/hyperlink" Target="https://www.sec.gov/Archives/edgar/data/106040/000119312523253508/d505633dex101.htm" TargetMode="External"/><Relationship Id="rId137" Type="http://schemas.openxmlformats.org/officeDocument/2006/relationships/hyperlink" Target="https://www.sec.gov/Archives/edgar/data/106040/000119312523270415/d407149dex41.htm" TargetMode="External"/><Relationship Id="rId138" Type="http://schemas.openxmlformats.org/officeDocument/2006/relationships/hyperlink" Target="https://www.sec.gov/Archives/edgar/data/106040/000119312523270415/d407149dex41.htm#EXA" TargetMode="External"/><Relationship Id="rId139" Type="http://schemas.openxmlformats.org/officeDocument/2006/relationships/hyperlink" Target="https://www.sec.gov/Archives/edgar/data/106040/000119312523270415/d407149dex101.htm" TargetMode="External"/><Relationship Id="rId140" Type="http://schemas.openxmlformats.org/officeDocument/2006/relationships/hyperlink" Target="https://www.sec.gov/Archives/edgar/data/106040/000119312523279782/d68924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2024-02-12T15:41:29Z</dcterms:created>
  <dcterms:modified xsi:type="dcterms:W3CDTF">2024-02-12T15:41:29Z</dcterms:modified>
</cp:coreProperties>
</file>